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jc w:val="center"/>
        <w:rPr>
          <w:rFonts w:hint="eastAsia" w:ascii="宋体" w:hAnsi="宋体" w:eastAsia="宋体" w:cs="宋体"/>
          <w:color w:val="000000"/>
          <w:sz w:val="28"/>
          <w:szCs w:val="24"/>
        </w:rPr>
      </w:pPr>
    </w:p>
    <w:p>
      <w:pPr>
        <w:spacing w:line="360" w:lineRule="auto"/>
        <w:ind w:firstLine="480"/>
        <w:rPr>
          <w:rFonts w:hint="eastAsia" w:ascii="宋体" w:hAnsi="宋体" w:eastAsia="宋体" w:cs="宋体"/>
          <w:szCs w:val="24"/>
        </w:rPr>
      </w:pPr>
    </w:p>
    <w:p>
      <w:pPr>
        <w:spacing w:line="720" w:lineRule="auto"/>
        <w:ind w:firstLine="0" w:firstLineChars="0"/>
        <w:jc w:val="center"/>
        <w:rPr>
          <w:rFonts w:hint="eastAsia" w:ascii="宋体" w:hAnsi="宋体" w:cs="宋体"/>
          <w:b/>
          <w:bCs/>
          <w:sz w:val="48"/>
          <w:szCs w:val="24"/>
          <w:lang w:eastAsia="zh-CN"/>
        </w:rPr>
      </w:pPr>
      <w:r>
        <w:rPr>
          <w:rFonts w:hint="eastAsia" w:ascii="宋体" w:hAnsi="宋体" w:cs="宋体"/>
          <w:b/>
          <w:bCs/>
          <w:sz w:val="48"/>
          <w:szCs w:val="24"/>
          <w:lang w:eastAsia="zh-CN"/>
        </w:rPr>
        <w:t>河北友联建筑材料股份有限公司环保设施改造提升项目</w:t>
      </w:r>
    </w:p>
    <w:p>
      <w:pPr>
        <w:spacing w:line="720" w:lineRule="auto"/>
        <w:ind w:firstLine="0" w:firstLineChars="0"/>
        <w:jc w:val="center"/>
        <w:rPr>
          <w:rFonts w:hint="eastAsia" w:ascii="宋体" w:hAnsi="宋体" w:eastAsia="宋体" w:cs="宋体"/>
          <w:sz w:val="48"/>
          <w:szCs w:val="24"/>
        </w:rPr>
      </w:pPr>
      <w:r>
        <w:rPr>
          <w:rFonts w:hint="eastAsia" w:ascii="宋体" w:hAnsi="宋体" w:eastAsia="宋体" w:cs="宋体"/>
          <w:b/>
          <w:bCs/>
          <w:sz w:val="48"/>
          <w:szCs w:val="24"/>
        </w:rPr>
        <w:t>竣工环境保护验收报告</w:t>
      </w:r>
    </w:p>
    <w:p>
      <w:pPr>
        <w:spacing w:line="500" w:lineRule="exact"/>
        <w:ind w:firstLine="480"/>
        <w:rPr>
          <w:rFonts w:hint="eastAsia" w:ascii="宋体" w:hAnsi="宋体" w:eastAsia="宋体" w:cs="宋体"/>
          <w:szCs w:val="24"/>
        </w:rPr>
      </w:pPr>
    </w:p>
    <w:p>
      <w:pPr>
        <w:spacing w:line="500" w:lineRule="exact"/>
        <w:ind w:firstLine="480"/>
        <w:rPr>
          <w:rFonts w:hint="eastAsia" w:ascii="宋体" w:hAnsi="宋体" w:eastAsia="宋体" w:cs="宋体"/>
          <w:szCs w:val="24"/>
        </w:rPr>
      </w:pPr>
    </w:p>
    <w:p>
      <w:pPr>
        <w:spacing w:line="500" w:lineRule="exact"/>
        <w:ind w:firstLine="480"/>
        <w:rPr>
          <w:rFonts w:hint="eastAsia" w:ascii="宋体" w:hAnsi="宋体" w:eastAsia="宋体" w:cs="宋体"/>
          <w:szCs w:val="24"/>
        </w:rPr>
      </w:pPr>
    </w:p>
    <w:p>
      <w:pPr>
        <w:spacing w:line="500" w:lineRule="exact"/>
        <w:ind w:firstLine="480"/>
        <w:rPr>
          <w:rFonts w:hint="eastAsia" w:ascii="宋体" w:hAnsi="宋体" w:eastAsia="宋体" w:cs="宋体"/>
          <w:szCs w:val="24"/>
        </w:rPr>
      </w:pPr>
    </w:p>
    <w:p>
      <w:pPr>
        <w:spacing w:line="500" w:lineRule="exact"/>
        <w:ind w:firstLine="480"/>
        <w:rPr>
          <w:rFonts w:hint="eastAsia" w:ascii="宋体" w:hAnsi="宋体" w:eastAsia="宋体" w:cs="宋体"/>
          <w:szCs w:val="24"/>
        </w:rPr>
      </w:pPr>
    </w:p>
    <w:p>
      <w:pPr>
        <w:spacing w:line="500" w:lineRule="exact"/>
        <w:ind w:firstLine="480"/>
        <w:rPr>
          <w:rFonts w:hint="eastAsia" w:ascii="宋体" w:hAnsi="宋体" w:eastAsia="宋体" w:cs="宋体"/>
          <w:szCs w:val="24"/>
        </w:rPr>
      </w:pPr>
    </w:p>
    <w:p>
      <w:pPr>
        <w:spacing w:line="500" w:lineRule="exact"/>
        <w:ind w:firstLine="480"/>
        <w:rPr>
          <w:rFonts w:hint="eastAsia" w:ascii="宋体" w:hAnsi="宋体" w:eastAsia="宋体" w:cs="宋体"/>
          <w:szCs w:val="24"/>
        </w:rPr>
      </w:pPr>
    </w:p>
    <w:p>
      <w:pPr>
        <w:spacing w:line="500" w:lineRule="exact"/>
        <w:ind w:firstLine="480"/>
        <w:rPr>
          <w:rFonts w:hint="eastAsia" w:ascii="宋体" w:hAnsi="宋体" w:eastAsia="宋体" w:cs="宋体"/>
          <w:szCs w:val="24"/>
        </w:rPr>
      </w:pPr>
    </w:p>
    <w:p>
      <w:pPr>
        <w:spacing w:line="500" w:lineRule="exact"/>
        <w:ind w:firstLine="480"/>
        <w:rPr>
          <w:rFonts w:hint="eastAsia" w:ascii="宋体" w:hAnsi="宋体" w:eastAsia="宋体" w:cs="宋体"/>
          <w:szCs w:val="24"/>
        </w:rPr>
      </w:pPr>
    </w:p>
    <w:p>
      <w:pPr>
        <w:spacing w:line="500" w:lineRule="exact"/>
        <w:ind w:firstLine="480"/>
        <w:rPr>
          <w:rFonts w:hint="eastAsia" w:ascii="宋体" w:hAnsi="宋体" w:eastAsia="宋体" w:cs="宋体"/>
          <w:szCs w:val="24"/>
        </w:rPr>
      </w:pPr>
    </w:p>
    <w:p>
      <w:pPr>
        <w:spacing w:line="500" w:lineRule="exact"/>
        <w:ind w:firstLine="480"/>
        <w:rPr>
          <w:rFonts w:hint="eastAsia" w:ascii="宋体" w:hAnsi="宋体" w:eastAsia="宋体" w:cs="宋体"/>
          <w:szCs w:val="24"/>
        </w:rPr>
      </w:pPr>
    </w:p>
    <w:p>
      <w:pPr>
        <w:spacing w:line="500" w:lineRule="exact"/>
        <w:ind w:firstLine="480"/>
        <w:rPr>
          <w:rFonts w:hint="eastAsia" w:ascii="宋体" w:hAnsi="宋体" w:eastAsia="宋体" w:cs="宋体"/>
          <w:szCs w:val="24"/>
        </w:rPr>
      </w:pPr>
    </w:p>
    <w:p>
      <w:pPr>
        <w:spacing w:line="500" w:lineRule="exact"/>
        <w:ind w:firstLine="0" w:firstLineChars="0"/>
        <w:jc w:val="center"/>
        <w:rPr>
          <w:rFonts w:hint="eastAsia" w:ascii="宋体" w:hAnsi="宋体" w:eastAsia="宋体" w:cs="宋体"/>
          <w:szCs w:val="24"/>
        </w:rPr>
      </w:pPr>
    </w:p>
    <w:p>
      <w:pPr>
        <w:spacing w:line="500" w:lineRule="exact"/>
        <w:ind w:firstLine="0" w:firstLineChars="0"/>
        <w:jc w:val="center"/>
        <w:rPr>
          <w:rFonts w:hint="eastAsia" w:ascii="宋体" w:hAnsi="宋体" w:eastAsia="宋体" w:cs="宋体"/>
          <w:szCs w:val="24"/>
        </w:rPr>
      </w:pPr>
    </w:p>
    <w:p>
      <w:pPr>
        <w:spacing w:line="500" w:lineRule="exact"/>
        <w:ind w:firstLine="0" w:firstLineChars="0"/>
        <w:jc w:val="center"/>
        <w:rPr>
          <w:rFonts w:hint="eastAsia" w:ascii="宋体" w:hAnsi="宋体" w:eastAsia="宋体" w:cs="宋体"/>
          <w:b/>
          <w:bCs/>
          <w:sz w:val="28"/>
          <w:szCs w:val="24"/>
          <w:lang w:eastAsia="zh-CN"/>
        </w:rPr>
      </w:pPr>
      <w:r>
        <w:rPr>
          <w:rFonts w:hint="eastAsia" w:ascii="宋体" w:hAnsi="宋体" w:eastAsia="宋体" w:cs="宋体"/>
          <w:b/>
          <w:bCs/>
          <w:sz w:val="28"/>
          <w:szCs w:val="24"/>
        </w:rPr>
        <w:t>建设单位：</w:t>
      </w:r>
      <w:r>
        <w:rPr>
          <w:rFonts w:hint="eastAsia" w:ascii="宋体" w:hAnsi="宋体" w:cs="宋体"/>
          <w:b/>
          <w:bCs/>
          <w:sz w:val="28"/>
          <w:szCs w:val="24"/>
          <w:lang w:eastAsia="zh-CN"/>
        </w:rPr>
        <w:t>河北友联建筑材料股份有限公司</w:t>
      </w:r>
    </w:p>
    <w:p>
      <w:pPr>
        <w:spacing w:line="500" w:lineRule="exact"/>
        <w:ind w:firstLine="0" w:firstLineChars="0"/>
        <w:jc w:val="center"/>
        <w:rPr>
          <w:rFonts w:hint="eastAsia" w:ascii="宋体" w:hAnsi="宋体" w:eastAsia="宋体" w:cs="宋体"/>
          <w:b/>
          <w:bCs/>
          <w:sz w:val="28"/>
          <w:szCs w:val="24"/>
          <w:lang w:eastAsia="zh-CN"/>
        </w:rPr>
      </w:pPr>
      <w:r>
        <w:rPr>
          <w:rFonts w:hint="eastAsia" w:ascii="宋体" w:hAnsi="宋体" w:eastAsia="宋体" w:cs="宋体"/>
          <w:b/>
          <w:bCs/>
          <w:sz w:val="28"/>
          <w:szCs w:val="24"/>
        </w:rPr>
        <w:t>编制单位：</w:t>
      </w:r>
      <w:r>
        <w:rPr>
          <w:rFonts w:hint="eastAsia" w:ascii="宋体" w:hAnsi="宋体" w:cs="宋体"/>
          <w:b/>
          <w:bCs/>
          <w:sz w:val="28"/>
          <w:szCs w:val="24"/>
          <w:lang w:eastAsia="zh-CN"/>
        </w:rPr>
        <w:t>河北友联建筑材料股份有限公司</w:t>
      </w:r>
    </w:p>
    <w:p>
      <w:pPr>
        <w:spacing w:line="500" w:lineRule="exact"/>
        <w:ind w:firstLine="0" w:firstLineChars="0"/>
        <w:jc w:val="center"/>
        <w:rPr>
          <w:rFonts w:hint="eastAsia" w:ascii="宋体" w:hAnsi="宋体" w:eastAsia="宋体" w:cs="宋体"/>
          <w:b/>
          <w:bCs/>
          <w:sz w:val="28"/>
          <w:szCs w:val="24"/>
        </w:rPr>
      </w:pPr>
    </w:p>
    <w:p>
      <w:pPr>
        <w:spacing w:line="500" w:lineRule="exact"/>
        <w:ind w:firstLine="0" w:firstLineChars="0"/>
        <w:jc w:val="center"/>
        <w:rPr>
          <w:rFonts w:hint="eastAsia" w:ascii="宋体" w:hAnsi="宋体" w:eastAsia="宋体" w:cs="宋体"/>
          <w:sz w:val="28"/>
          <w:szCs w:val="24"/>
        </w:rPr>
      </w:pPr>
      <w:r>
        <w:rPr>
          <w:rFonts w:hint="eastAsia" w:ascii="宋体" w:hAnsi="宋体" w:eastAsia="宋体" w:cs="宋体"/>
          <w:b/>
          <w:sz w:val="32"/>
          <w:szCs w:val="24"/>
        </w:rPr>
        <w:t>202</w:t>
      </w:r>
      <w:r>
        <w:rPr>
          <w:rFonts w:hint="eastAsia" w:ascii="宋体" w:hAnsi="宋体" w:cs="宋体"/>
          <w:b/>
          <w:sz w:val="32"/>
          <w:szCs w:val="24"/>
          <w:lang w:val="en-US" w:eastAsia="zh-CN"/>
        </w:rPr>
        <w:t>4</w:t>
      </w:r>
      <w:r>
        <w:rPr>
          <w:rFonts w:hint="eastAsia" w:ascii="宋体" w:hAnsi="宋体" w:eastAsia="宋体" w:cs="宋体"/>
          <w:sz w:val="28"/>
          <w:szCs w:val="24"/>
        </w:rPr>
        <w:t>年</w:t>
      </w:r>
      <w:r>
        <w:rPr>
          <w:rFonts w:hint="eastAsia" w:ascii="宋体" w:hAnsi="宋体" w:cs="宋体"/>
          <w:b/>
          <w:sz w:val="32"/>
          <w:szCs w:val="24"/>
          <w:lang w:val="en-US" w:eastAsia="zh-CN"/>
        </w:rPr>
        <w:t>03</w:t>
      </w:r>
      <w:r>
        <w:rPr>
          <w:rFonts w:hint="eastAsia" w:ascii="宋体" w:hAnsi="宋体" w:eastAsia="宋体" w:cs="宋体"/>
          <w:sz w:val="28"/>
          <w:szCs w:val="24"/>
        </w:rPr>
        <w:t>月</w:t>
      </w:r>
    </w:p>
    <w:p>
      <w:pPr>
        <w:pStyle w:val="2"/>
        <w:rPr>
          <w:rFonts w:hint="eastAsia" w:ascii="宋体" w:hAnsi="宋体" w:eastAsia="宋体" w:cs="宋体"/>
        </w:rPr>
      </w:pPr>
    </w:p>
    <w:p>
      <w:pPr>
        <w:spacing w:line="360" w:lineRule="auto"/>
        <w:ind w:firstLine="0" w:firstLineChars="0"/>
        <w:jc w:val="center"/>
        <w:rPr>
          <w:rFonts w:hint="eastAsia" w:ascii="宋体" w:hAnsi="宋体" w:eastAsia="宋体" w:cs="宋体"/>
          <w:color w:val="000000"/>
          <w:sz w:val="28"/>
          <w:szCs w:val="24"/>
        </w:rPr>
      </w:pPr>
    </w:p>
    <w:p>
      <w:pPr>
        <w:spacing w:line="360" w:lineRule="auto"/>
        <w:ind w:firstLine="0" w:firstLineChars="0"/>
        <w:rPr>
          <w:rFonts w:hint="eastAsia" w:ascii="宋体" w:hAnsi="宋体" w:eastAsia="宋体" w:cs="宋体"/>
          <w:sz w:val="28"/>
          <w:szCs w:val="24"/>
          <w:lang w:eastAsia="zh-CN"/>
        </w:rPr>
      </w:pPr>
      <w:r>
        <w:rPr>
          <w:rFonts w:hint="eastAsia" w:ascii="宋体" w:hAnsi="宋体" w:eastAsia="宋体" w:cs="宋体"/>
          <w:sz w:val="28"/>
          <w:szCs w:val="24"/>
        </w:rPr>
        <w:t xml:space="preserve">建设单位法人代表: </w:t>
      </w:r>
      <w:r>
        <w:rPr>
          <w:rFonts w:hint="eastAsia" w:ascii="宋体" w:hAnsi="宋体" w:cs="宋体"/>
          <w:sz w:val="28"/>
          <w:szCs w:val="24"/>
          <w:lang w:val="en-US" w:eastAsia="zh-CN"/>
        </w:rPr>
        <w:t>张海静</w:t>
      </w:r>
    </w:p>
    <w:p>
      <w:pPr>
        <w:spacing w:line="360" w:lineRule="auto"/>
        <w:ind w:firstLine="0" w:firstLineChars="0"/>
        <w:rPr>
          <w:rFonts w:hint="eastAsia" w:ascii="宋体" w:hAnsi="宋体" w:eastAsia="宋体" w:cs="宋体"/>
          <w:sz w:val="28"/>
          <w:szCs w:val="24"/>
          <w:lang w:eastAsia="zh-CN"/>
        </w:rPr>
      </w:pPr>
      <w:r>
        <w:rPr>
          <w:rFonts w:hint="eastAsia" w:ascii="宋体" w:hAnsi="宋体" w:eastAsia="宋体" w:cs="宋体"/>
          <w:sz w:val="28"/>
          <w:szCs w:val="24"/>
        </w:rPr>
        <w:t xml:space="preserve">项  目  负 责 人: </w:t>
      </w:r>
      <w:r>
        <w:rPr>
          <w:rFonts w:hint="eastAsia" w:ascii="宋体" w:hAnsi="宋体" w:cs="宋体"/>
          <w:sz w:val="28"/>
          <w:szCs w:val="24"/>
          <w:lang w:eastAsia="zh-CN"/>
        </w:rPr>
        <w:t>田占军</w:t>
      </w:r>
    </w:p>
    <w:p>
      <w:pPr>
        <w:spacing w:line="360" w:lineRule="auto"/>
        <w:ind w:firstLine="560"/>
        <w:rPr>
          <w:rFonts w:hint="eastAsia" w:ascii="宋体" w:hAnsi="宋体" w:eastAsia="宋体" w:cs="宋体"/>
          <w:color w:val="000000"/>
          <w:sz w:val="28"/>
          <w:szCs w:val="24"/>
        </w:rPr>
      </w:pPr>
    </w:p>
    <w:p>
      <w:pPr>
        <w:spacing w:line="360" w:lineRule="auto"/>
        <w:ind w:firstLine="560"/>
        <w:rPr>
          <w:rFonts w:hint="eastAsia" w:ascii="宋体" w:hAnsi="宋体" w:eastAsia="宋体" w:cs="宋体"/>
          <w:color w:val="000000"/>
          <w:sz w:val="28"/>
          <w:szCs w:val="24"/>
        </w:rPr>
      </w:pPr>
    </w:p>
    <w:p>
      <w:pPr>
        <w:spacing w:line="360" w:lineRule="auto"/>
        <w:ind w:firstLine="560"/>
        <w:rPr>
          <w:rFonts w:hint="eastAsia" w:ascii="宋体" w:hAnsi="宋体" w:eastAsia="宋体" w:cs="宋体"/>
          <w:color w:val="000000"/>
          <w:sz w:val="28"/>
          <w:szCs w:val="24"/>
        </w:rPr>
      </w:pPr>
    </w:p>
    <w:p>
      <w:pPr>
        <w:spacing w:line="360" w:lineRule="auto"/>
        <w:ind w:firstLine="560"/>
        <w:rPr>
          <w:rFonts w:hint="eastAsia" w:ascii="宋体" w:hAnsi="宋体" w:eastAsia="宋体" w:cs="宋体"/>
          <w:color w:val="000000"/>
          <w:sz w:val="28"/>
          <w:szCs w:val="24"/>
        </w:rPr>
      </w:pPr>
    </w:p>
    <w:p>
      <w:pPr>
        <w:spacing w:line="360" w:lineRule="auto"/>
        <w:ind w:firstLine="560"/>
        <w:rPr>
          <w:rFonts w:hint="eastAsia" w:ascii="宋体" w:hAnsi="宋体" w:eastAsia="宋体" w:cs="宋体"/>
          <w:color w:val="000000"/>
          <w:sz w:val="28"/>
          <w:szCs w:val="24"/>
        </w:rPr>
      </w:pPr>
    </w:p>
    <w:p>
      <w:pPr>
        <w:spacing w:line="360" w:lineRule="auto"/>
        <w:ind w:firstLine="560"/>
        <w:rPr>
          <w:rFonts w:hint="eastAsia" w:ascii="宋体" w:hAnsi="宋体" w:eastAsia="宋体" w:cs="宋体"/>
          <w:color w:val="000000"/>
          <w:sz w:val="28"/>
          <w:szCs w:val="24"/>
        </w:rPr>
      </w:pPr>
      <w:r>
        <w:rPr>
          <w:rFonts w:hint="eastAsia" w:ascii="宋体" w:hAnsi="宋体" w:eastAsia="宋体" w:cs="宋体"/>
          <w:color w:val="000000"/>
          <w:sz w:val="28"/>
          <w:szCs w:val="24"/>
        </w:rPr>
        <w:tab/>
      </w:r>
    </w:p>
    <w:p>
      <w:pPr>
        <w:spacing w:line="360" w:lineRule="auto"/>
        <w:ind w:firstLine="560"/>
        <w:rPr>
          <w:rFonts w:hint="eastAsia" w:ascii="宋体" w:hAnsi="宋体" w:eastAsia="宋体" w:cs="宋体"/>
          <w:color w:val="000000"/>
          <w:sz w:val="28"/>
          <w:szCs w:val="24"/>
        </w:rPr>
      </w:pPr>
    </w:p>
    <w:p>
      <w:pPr>
        <w:tabs>
          <w:tab w:val="left" w:pos="984"/>
        </w:tabs>
        <w:spacing w:line="360" w:lineRule="auto"/>
        <w:ind w:firstLine="560"/>
        <w:rPr>
          <w:rFonts w:hint="eastAsia" w:ascii="宋体" w:hAnsi="宋体" w:eastAsia="宋体" w:cs="宋体"/>
          <w:color w:val="000000"/>
          <w:sz w:val="28"/>
          <w:szCs w:val="24"/>
        </w:rPr>
      </w:pPr>
      <w:r>
        <w:rPr>
          <w:rFonts w:hint="eastAsia" w:ascii="宋体" w:hAnsi="宋体" w:eastAsia="宋体" w:cs="宋体"/>
          <w:color w:val="000000"/>
          <w:sz w:val="28"/>
          <w:szCs w:val="24"/>
        </w:rPr>
        <w:tab/>
      </w:r>
    </w:p>
    <w:p>
      <w:pPr>
        <w:tabs>
          <w:tab w:val="left" w:pos="984"/>
        </w:tabs>
        <w:spacing w:line="360" w:lineRule="auto"/>
        <w:ind w:firstLine="560"/>
        <w:rPr>
          <w:rFonts w:hint="eastAsia" w:ascii="宋体" w:hAnsi="宋体" w:eastAsia="宋体" w:cs="宋体"/>
          <w:color w:val="000000"/>
          <w:sz w:val="28"/>
          <w:szCs w:val="24"/>
        </w:rPr>
      </w:pPr>
    </w:p>
    <w:p>
      <w:pPr>
        <w:spacing w:line="360" w:lineRule="auto"/>
        <w:ind w:firstLine="560"/>
        <w:rPr>
          <w:rFonts w:hint="eastAsia" w:ascii="宋体" w:hAnsi="宋体" w:eastAsia="宋体" w:cs="宋体"/>
          <w:color w:val="000000"/>
          <w:sz w:val="28"/>
          <w:szCs w:val="24"/>
        </w:rPr>
      </w:pPr>
    </w:p>
    <w:p>
      <w:pPr>
        <w:spacing w:line="360" w:lineRule="auto"/>
        <w:ind w:firstLine="560"/>
        <w:rPr>
          <w:rFonts w:hint="eastAsia" w:ascii="宋体" w:hAnsi="宋体" w:eastAsia="宋体" w:cs="宋体"/>
          <w:color w:val="000000"/>
          <w:sz w:val="28"/>
          <w:szCs w:val="24"/>
        </w:rPr>
      </w:pPr>
    </w:p>
    <w:tbl>
      <w:tblPr>
        <w:tblStyle w:val="3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73"/>
        <w:gridCol w:w="572"/>
        <w:gridCol w:w="38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73" w:type="dxa"/>
          </w:tcPr>
          <w:p>
            <w:pPr>
              <w:spacing w:line="360" w:lineRule="auto"/>
              <w:ind w:firstLine="0" w:firstLineChars="0"/>
              <w:rPr>
                <w:rFonts w:hint="eastAsia" w:ascii="宋体" w:hAnsi="宋体" w:eastAsia="宋体" w:cs="宋体"/>
                <w:color w:val="000000"/>
                <w:sz w:val="28"/>
                <w:szCs w:val="24"/>
              </w:rPr>
            </w:pPr>
            <w:r>
              <w:rPr>
                <w:rFonts w:hint="eastAsia" w:ascii="宋体" w:hAnsi="宋体" w:eastAsia="宋体" w:cs="宋体"/>
                <w:color w:val="000000"/>
                <w:sz w:val="28"/>
                <w:szCs w:val="24"/>
              </w:rPr>
              <w:t>建设单位：</w:t>
            </w:r>
            <w:r>
              <w:rPr>
                <w:rFonts w:hint="eastAsia" w:ascii="宋体" w:hAnsi="宋体" w:cs="宋体"/>
                <w:color w:val="000000"/>
                <w:sz w:val="28"/>
                <w:szCs w:val="24"/>
                <w:lang w:eastAsia="zh-CN"/>
              </w:rPr>
              <w:t>河北友联建筑材料股份有限公司</w:t>
            </w:r>
            <w:r>
              <w:rPr>
                <w:rFonts w:hint="eastAsia" w:ascii="宋体" w:hAnsi="宋体" w:eastAsia="宋体" w:cs="宋体"/>
                <w:color w:val="000000"/>
                <w:sz w:val="28"/>
                <w:szCs w:val="24"/>
              </w:rPr>
              <w:t xml:space="preserve">（盖章） </w:t>
            </w:r>
          </w:p>
        </w:tc>
        <w:tc>
          <w:tcPr>
            <w:tcW w:w="572" w:type="dxa"/>
          </w:tcPr>
          <w:p>
            <w:pPr>
              <w:spacing w:line="360" w:lineRule="auto"/>
              <w:ind w:firstLine="0" w:firstLineChars="0"/>
              <w:rPr>
                <w:rFonts w:hint="eastAsia" w:ascii="宋体" w:hAnsi="宋体" w:eastAsia="宋体" w:cs="宋体"/>
                <w:color w:val="000000"/>
                <w:sz w:val="28"/>
                <w:szCs w:val="24"/>
              </w:rPr>
            </w:pPr>
          </w:p>
        </w:tc>
        <w:tc>
          <w:tcPr>
            <w:tcW w:w="3861" w:type="dxa"/>
          </w:tcPr>
          <w:p>
            <w:pPr>
              <w:spacing w:line="360" w:lineRule="auto"/>
              <w:ind w:firstLine="0" w:firstLineChars="0"/>
              <w:rPr>
                <w:rFonts w:hint="eastAsia" w:ascii="宋体" w:hAnsi="宋体" w:eastAsia="宋体" w:cs="宋体"/>
                <w:color w:val="000000"/>
                <w:sz w:val="28"/>
                <w:szCs w:val="24"/>
              </w:rPr>
            </w:pPr>
            <w:r>
              <w:rPr>
                <w:rFonts w:hint="eastAsia" w:ascii="宋体" w:hAnsi="宋体" w:eastAsia="宋体" w:cs="宋体"/>
                <w:color w:val="000000"/>
                <w:sz w:val="28"/>
                <w:szCs w:val="24"/>
              </w:rPr>
              <w:t>编制单位：</w:t>
            </w:r>
            <w:r>
              <w:rPr>
                <w:rFonts w:hint="eastAsia" w:ascii="宋体" w:hAnsi="宋体" w:cs="宋体"/>
                <w:color w:val="000000"/>
                <w:sz w:val="28"/>
                <w:szCs w:val="24"/>
                <w:lang w:eastAsia="zh-CN"/>
              </w:rPr>
              <w:t>河北友联建筑材料股份有限公司</w:t>
            </w:r>
            <w:r>
              <w:rPr>
                <w:rFonts w:hint="eastAsia" w:ascii="宋体" w:hAnsi="宋体" w:eastAsia="宋体" w:cs="宋体"/>
                <w:color w:val="000000"/>
                <w:sz w:val="28"/>
                <w:szCs w:val="24"/>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73" w:type="dxa"/>
          </w:tcPr>
          <w:p>
            <w:pPr>
              <w:spacing w:line="360" w:lineRule="auto"/>
              <w:ind w:firstLine="0" w:firstLineChars="0"/>
              <w:rPr>
                <w:rFonts w:hint="eastAsia" w:ascii="宋体" w:hAnsi="宋体" w:eastAsia="宋体" w:cs="宋体"/>
                <w:sz w:val="28"/>
                <w:szCs w:val="24"/>
                <w:lang w:eastAsia="zh-CN"/>
              </w:rPr>
            </w:pPr>
            <w:r>
              <w:rPr>
                <w:rFonts w:hint="eastAsia" w:ascii="宋体" w:hAnsi="宋体" w:eastAsia="宋体" w:cs="宋体"/>
                <w:sz w:val="28"/>
                <w:szCs w:val="24"/>
              </w:rPr>
              <w:t xml:space="preserve">电话: </w:t>
            </w:r>
            <w:r>
              <w:rPr>
                <w:rFonts w:hint="eastAsia" w:ascii="宋体" w:hAnsi="宋体" w:cs="宋体"/>
                <w:sz w:val="28"/>
                <w:szCs w:val="24"/>
                <w:lang w:eastAsia="zh-CN"/>
              </w:rPr>
              <w:t>18931319556</w:t>
            </w:r>
          </w:p>
        </w:tc>
        <w:tc>
          <w:tcPr>
            <w:tcW w:w="572" w:type="dxa"/>
          </w:tcPr>
          <w:p>
            <w:pPr>
              <w:spacing w:line="360" w:lineRule="auto"/>
              <w:ind w:firstLine="0" w:firstLineChars="0"/>
              <w:rPr>
                <w:rFonts w:hint="eastAsia" w:ascii="宋体" w:hAnsi="宋体" w:eastAsia="宋体" w:cs="宋体"/>
                <w:sz w:val="28"/>
                <w:szCs w:val="24"/>
              </w:rPr>
            </w:pPr>
          </w:p>
        </w:tc>
        <w:tc>
          <w:tcPr>
            <w:tcW w:w="3861" w:type="dxa"/>
          </w:tcPr>
          <w:p>
            <w:pPr>
              <w:spacing w:line="360" w:lineRule="auto"/>
              <w:ind w:firstLine="0" w:firstLineChars="0"/>
              <w:rPr>
                <w:rFonts w:hint="eastAsia" w:ascii="宋体" w:hAnsi="宋体" w:eastAsia="宋体" w:cs="宋体"/>
                <w:sz w:val="28"/>
                <w:szCs w:val="24"/>
                <w:lang w:eastAsia="zh-CN"/>
              </w:rPr>
            </w:pPr>
            <w:r>
              <w:rPr>
                <w:rFonts w:hint="eastAsia" w:ascii="宋体" w:hAnsi="宋体" w:eastAsia="宋体" w:cs="宋体"/>
                <w:sz w:val="28"/>
                <w:szCs w:val="24"/>
              </w:rPr>
              <w:t xml:space="preserve">电话: </w:t>
            </w:r>
            <w:r>
              <w:rPr>
                <w:rFonts w:hint="eastAsia" w:ascii="宋体" w:hAnsi="宋体" w:cs="宋体"/>
                <w:sz w:val="28"/>
                <w:szCs w:val="24"/>
                <w:lang w:eastAsia="zh-CN"/>
              </w:rPr>
              <w:t>18931319556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73" w:type="dxa"/>
          </w:tcPr>
          <w:p>
            <w:pPr>
              <w:spacing w:line="360" w:lineRule="auto"/>
              <w:ind w:firstLine="0" w:firstLineChars="0"/>
              <w:rPr>
                <w:rFonts w:hint="eastAsia" w:ascii="宋体" w:hAnsi="宋体" w:eastAsia="宋体" w:cs="宋体"/>
                <w:sz w:val="28"/>
                <w:szCs w:val="24"/>
              </w:rPr>
            </w:pPr>
            <w:r>
              <w:rPr>
                <w:rFonts w:hint="eastAsia" w:ascii="宋体" w:hAnsi="宋体" w:eastAsia="宋体" w:cs="宋体"/>
                <w:sz w:val="28"/>
                <w:szCs w:val="24"/>
              </w:rPr>
              <w:t xml:space="preserve">传真: </w:t>
            </w:r>
          </w:p>
        </w:tc>
        <w:tc>
          <w:tcPr>
            <w:tcW w:w="572" w:type="dxa"/>
          </w:tcPr>
          <w:p>
            <w:pPr>
              <w:spacing w:line="360" w:lineRule="auto"/>
              <w:ind w:firstLine="0" w:firstLineChars="0"/>
              <w:rPr>
                <w:rFonts w:hint="eastAsia" w:ascii="宋体" w:hAnsi="宋体" w:eastAsia="宋体" w:cs="宋体"/>
                <w:sz w:val="28"/>
                <w:szCs w:val="24"/>
              </w:rPr>
            </w:pPr>
          </w:p>
        </w:tc>
        <w:tc>
          <w:tcPr>
            <w:tcW w:w="3861" w:type="dxa"/>
          </w:tcPr>
          <w:p>
            <w:pPr>
              <w:spacing w:line="360" w:lineRule="auto"/>
              <w:ind w:firstLine="0" w:firstLineChars="0"/>
              <w:rPr>
                <w:rFonts w:hint="eastAsia" w:ascii="宋体" w:hAnsi="宋体" w:eastAsia="宋体" w:cs="宋体"/>
                <w:sz w:val="28"/>
                <w:szCs w:val="24"/>
              </w:rPr>
            </w:pPr>
            <w:r>
              <w:rPr>
                <w:rFonts w:hint="eastAsia" w:ascii="宋体" w:hAnsi="宋体" w:eastAsia="宋体" w:cs="宋体"/>
                <w:sz w:val="28"/>
                <w:szCs w:val="24"/>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73" w:type="dxa"/>
          </w:tcPr>
          <w:p>
            <w:pPr>
              <w:spacing w:line="360" w:lineRule="auto"/>
              <w:ind w:firstLine="0" w:firstLineChars="0"/>
              <w:rPr>
                <w:rFonts w:hint="eastAsia" w:ascii="宋体" w:hAnsi="宋体" w:eastAsia="宋体" w:cs="宋体"/>
                <w:sz w:val="28"/>
                <w:szCs w:val="24"/>
                <w:lang w:val="en-US" w:eastAsia="zh-CN"/>
              </w:rPr>
            </w:pPr>
            <w:r>
              <w:rPr>
                <w:rFonts w:hint="eastAsia" w:ascii="宋体" w:hAnsi="宋体" w:eastAsia="宋体" w:cs="宋体"/>
                <w:sz w:val="28"/>
                <w:szCs w:val="24"/>
              </w:rPr>
              <w:t xml:space="preserve">邮编: </w:t>
            </w:r>
            <w:r>
              <w:rPr>
                <w:rFonts w:hint="eastAsia" w:ascii="宋体" w:hAnsi="宋体" w:cs="宋体"/>
                <w:sz w:val="28"/>
                <w:szCs w:val="24"/>
                <w:lang w:val="en-US" w:eastAsia="zh-CN"/>
              </w:rPr>
              <w:t>075000</w:t>
            </w:r>
          </w:p>
        </w:tc>
        <w:tc>
          <w:tcPr>
            <w:tcW w:w="572" w:type="dxa"/>
          </w:tcPr>
          <w:p>
            <w:pPr>
              <w:spacing w:line="360" w:lineRule="auto"/>
              <w:ind w:firstLine="0" w:firstLineChars="0"/>
              <w:rPr>
                <w:rFonts w:hint="eastAsia" w:ascii="宋体" w:hAnsi="宋体" w:eastAsia="宋体" w:cs="宋体"/>
                <w:sz w:val="28"/>
                <w:szCs w:val="24"/>
              </w:rPr>
            </w:pPr>
          </w:p>
        </w:tc>
        <w:tc>
          <w:tcPr>
            <w:tcW w:w="3861" w:type="dxa"/>
          </w:tcPr>
          <w:p>
            <w:pPr>
              <w:spacing w:line="360" w:lineRule="auto"/>
              <w:ind w:firstLine="0" w:firstLineChars="0"/>
              <w:rPr>
                <w:rFonts w:hint="default" w:ascii="宋体" w:hAnsi="宋体" w:eastAsia="宋体" w:cs="宋体"/>
                <w:sz w:val="28"/>
                <w:szCs w:val="24"/>
                <w:lang w:val="en-US" w:eastAsia="zh-CN"/>
              </w:rPr>
            </w:pPr>
            <w:r>
              <w:rPr>
                <w:rFonts w:hint="eastAsia" w:ascii="宋体" w:hAnsi="宋体" w:eastAsia="宋体" w:cs="宋体"/>
                <w:sz w:val="28"/>
                <w:szCs w:val="24"/>
              </w:rPr>
              <w:t xml:space="preserve">邮编: </w:t>
            </w:r>
            <w:r>
              <w:rPr>
                <w:rFonts w:hint="eastAsia" w:ascii="宋体" w:hAnsi="宋体" w:cs="宋体"/>
                <w:sz w:val="28"/>
                <w:szCs w:val="24"/>
                <w:lang w:val="en-US" w:eastAsia="zh-CN"/>
              </w:rPr>
              <w:t>075000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873" w:type="dxa"/>
          </w:tcPr>
          <w:p>
            <w:pPr>
              <w:spacing w:line="360" w:lineRule="auto"/>
              <w:ind w:firstLine="0" w:firstLineChars="0"/>
              <w:rPr>
                <w:rFonts w:hint="eastAsia" w:ascii="宋体" w:hAnsi="宋体" w:eastAsia="宋体" w:cs="宋体"/>
                <w:sz w:val="28"/>
                <w:szCs w:val="24"/>
                <w:lang w:eastAsia="zh-CN"/>
              </w:rPr>
            </w:pPr>
            <w:r>
              <w:rPr>
                <w:rFonts w:hint="eastAsia" w:ascii="宋体" w:hAnsi="宋体" w:eastAsia="宋体" w:cs="宋体"/>
                <w:sz w:val="28"/>
                <w:szCs w:val="24"/>
              </w:rPr>
              <w:t>地址:</w:t>
            </w:r>
            <w:r>
              <w:rPr>
                <w:rFonts w:hint="eastAsia" w:ascii="宋体" w:hAnsi="宋体" w:cs="宋体"/>
                <w:sz w:val="28"/>
                <w:szCs w:val="24"/>
                <w:lang w:eastAsia="zh-CN"/>
              </w:rPr>
              <w:t>赤城县赤城镇孙家庄村</w:t>
            </w:r>
          </w:p>
        </w:tc>
        <w:tc>
          <w:tcPr>
            <w:tcW w:w="572" w:type="dxa"/>
          </w:tcPr>
          <w:p>
            <w:pPr>
              <w:spacing w:line="360" w:lineRule="auto"/>
              <w:ind w:firstLine="0" w:firstLineChars="0"/>
              <w:rPr>
                <w:rFonts w:hint="eastAsia" w:ascii="宋体" w:hAnsi="宋体" w:eastAsia="宋体" w:cs="宋体"/>
                <w:sz w:val="28"/>
                <w:szCs w:val="24"/>
              </w:rPr>
            </w:pPr>
          </w:p>
        </w:tc>
        <w:tc>
          <w:tcPr>
            <w:tcW w:w="3861" w:type="dxa"/>
          </w:tcPr>
          <w:p>
            <w:pPr>
              <w:spacing w:line="360" w:lineRule="auto"/>
              <w:ind w:firstLine="0" w:firstLineChars="0"/>
              <w:rPr>
                <w:rFonts w:hint="eastAsia" w:ascii="宋体" w:hAnsi="宋体" w:eastAsia="宋体" w:cs="宋体"/>
                <w:sz w:val="28"/>
                <w:szCs w:val="24"/>
                <w:lang w:eastAsia="zh-CN"/>
              </w:rPr>
            </w:pPr>
            <w:r>
              <w:rPr>
                <w:rFonts w:hint="eastAsia" w:ascii="宋体" w:hAnsi="宋体" w:eastAsia="宋体" w:cs="宋体"/>
                <w:sz w:val="28"/>
                <w:szCs w:val="24"/>
              </w:rPr>
              <w:t xml:space="preserve">地址: </w:t>
            </w:r>
            <w:r>
              <w:rPr>
                <w:rFonts w:hint="eastAsia" w:ascii="宋体" w:hAnsi="宋体" w:cs="宋体"/>
                <w:sz w:val="28"/>
                <w:szCs w:val="24"/>
                <w:lang w:eastAsia="zh-CN"/>
              </w:rPr>
              <w:t>赤城县赤城镇孙家庄村</w:t>
            </w:r>
          </w:p>
        </w:tc>
      </w:tr>
    </w:tbl>
    <w:p>
      <w:pPr>
        <w:adjustRightInd w:val="0"/>
        <w:snapToGrid w:val="0"/>
        <w:spacing w:line="480" w:lineRule="auto"/>
        <w:ind w:firstLine="0" w:firstLineChars="0"/>
        <w:rPr>
          <w:rFonts w:hint="eastAsia" w:ascii="宋体" w:hAnsi="宋体" w:eastAsia="宋体" w:cs="宋体"/>
          <w:color w:val="000000"/>
          <w:kern w:val="0"/>
          <w:sz w:val="20"/>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spacing w:line="500" w:lineRule="exact"/>
        <w:ind w:firstLine="643"/>
        <w:jc w:val="center"/>
        <w:rPr>
          <w:rFonts w:hint="eastAsia" w:ascii="宋体" w:hAnsi="宋体" w:eastAsia="宋体" w:cs="宋体"/>
          <w:color w:val="000000"/>
          <w:kern w:val="0"/>
          <w:sz w:val="32"/>
          <w:szCs w:val="32"/>
        </w:rPr>
      </w:pPr>
      <w:r>
        <w:rPr>
          <w:rFonts w:hint="eastAsia" w:ascii="宋体" w:hAnsi="宋体" w:eastAsia="宋体" w:cs="宋体"/>
          <w:b/>
          <w:color w:val="000000"/>
          <w:kern w:val="0"/>
          <w:sz w:val="32"/>
          <w:szCs w:val="32"/>
        </w:rPr>
        <w:t>目 录</w:t>
      </w:r>
    </w:p>
    <w:p>
      <w:pPr>
        <w:pStyle w:val="23"/>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TOC \o "1-2" \h \z \u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_Toc244 </w:instrText>
      </w:r>
      <w:r>
        <w:rPr>
          <w:rFonts w:hint="eastAsia" w:ascii="宋体" w:hAnsi="宋体" w:eastAsia="宋体" w:cs="宋体"/>
          <w:szCs w:val="24"/>
        </w:rPr>
        <w:fldChar w:fldCharType="separate"/>
      </w:r>
      <w:r>
        <w:rPr>
          <w:rFonts w:hint="eastAsia" w:ascii="宋体" w:hAnsi="宋体" w:eastAsia="宋体" w:cs="宋体"/>
        </w:rPr>
        <w:t>前言</w:t>
      </w:r>
      <w:r>
        <w:tab/>
      </w:r>
      <w:r>
        <w:fldChar w:fldCharType="begin"/>
      </w:r>
      <w:r>
        <w:instrText xml:space="preserve"> PAGEREF _Toc244 \h </w:instrText>
      </w:r>
      <w:r>
        <w:fldChar w:fldCharType="separate"/>
      </w:r>
      <w:r>
        <w:t>1</w:t>
      </w:r>
      <w:r>
        <w:fldChar w:fldCharType="end"/>
      </w:r>
      <w:r>
        <w:rPr>
          <w:rFonts w:hint="eastAsia" w:ascii="宋体" w:hAnsi="宋体" w:eastAsia="宋体" w:cs="宋体"/>
          <w:color w:val="000000"/>
          <w:szCs w:val="24"/>
        </w:rPr>
        <w:fldChar w:fldCharType="end"/>
      </w:r>
    </w:p>
    <w:p>
      <w:pPr>
        <w:pStyle w:val="23"/>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_Toc6886 </w:instrText>
      </w:r>
      <w:r>
        <w:rPr>
          <w:rFonts w:hint="eastAsia" w:ascii="宋体" w:hAnsi="宋体" w:eastAsia="宋体" w:cs="宋体"/>
          <w:szCs w:val="24"/>
        </w:rPr>
        <w:fldChar w:fldCharType="separate"/>
      </w:r>
      <w:r>
        <w:rPr>
          <w:rFonts w:hint="eastAsia" w:ascii="宋体" w:hAnsi="宋体" w:eastAsia="宋体" w:cs="宋体"/>
        </w:rPr>
        <w:t>1、验收编制依据</w:t>
      </w:r>
      <w:r>
        <w:tab/>
      </w:r>
      <w:r>
        <w:fldChar w:fldCharType="begin"/>
      </w:r>
      <w:r>
        <w:instrText xml:space="preserve"> PAGEREF _Toc6886 \h </w:instrText>
      </w:r>
      <w:r>
        <w:fldChar w:fldCharType="separate"/>
      </w:r>
      <w:r>
        <w:t>3</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_Toc6484 </w:instrText>
      </w:r>
      <w:r>
        <w:rPr>
          <w:rFonts w:hint="eastAsia" w:ascii="宋体" w:hAnsi="宋体" w:eastAsia="宋体" w:cs="宋体"/>
          <w:szCs w:val="24"/>
        </w:rPr>
        <w:fldChar w:fldCharType="separate"/>
      </w:r>
      <w:r>
        <w:rPr>
          <w:rFonts w:hint="eastAsia" w:ascii="宋体" w:hAnsi="宋体" w:eastAsia="宋体" w:cs="宋体"/>
        </w:rPr>
        <w:t>1.1建设项目环境保护相关法律、法规和规章制度</w:t>
      </w:r>
      <w:r>
        <w:tab/>
      </w:r>
      <w:r>
        <w:fldChar w:fldCharType="begin"/>
      </w:r>
      <w:r>
        <w:instrText xml:space="preserve"> PAGEREF _Toc6484 \h </w:instrText>
      </w:r>
      <w:r>
        <w:fldChar w:fldCharType="separate"/>
      </w:r>
      <w:r>
        <w:t>3</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_Toc4717 </w:instrText>
      </w:r>
      <w:r>
        <w:rPr>
          <w:rFonts w:hint="eastAsia" w:ascii="宋体" w:hAnsi="宋体" w:eastAsia="宋体" w:cs="宋体"/>
          <w:szCs w:val="24"/>
        </w:rPr>
        <w:fldChar w:fldCharType="separate"/>
      </w:r>
      <w:r>
        <w:rPr>
          <w:rFonts w:hint="eastAsia" w:ascii="宋体" w:hAnsi="宋体" w:eastAsia="宋体" w:cs="宋体"/>
        </w:rPr>
        <w:t>1.2建设项目竣工环境保护验收技术规范</w:t>
      </w:r>
      <w:r>
        <w:tab/>
      </w:r>
      <w:r>
        <w:fldChar w:fldCharType="begin"/>
      </w:r>
      <w:r>
        <w:instrText xml:space="preserve"> PAGEREF _Toc4717 \h </w:instrText>
      </w:r>
      <w:r>
        <w:fldChar w:fldCharType="separate"/>
      </w:r>
      <w:r>
        <w:t>3</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_Toc32361 </w:instrText>
      </w:r>
      <w:r>
        <w:rPr>
          <w:rFonts w:hint="eastAsia" w:ascii="宋体" w:hAnsi="宋体" w:eastAsia="宋体" w:cs="宋体"/>
          <w:szCs w:val="24"/>
        </w:rPr>
        <w:fldChar w:fldCharType="separate"/>
      </w:r>
      <w:r>
        <w:rPr>
          <w:rFonts w:hint="eastAsia" w:ascii="宋体" w:hAnsi="宋体" w:eastAsia="宋体" w:cs="宋体"/>
        </w:rPr>
        <w:t>1.3工程技术文件及批复文件</w:t>
      </w:r>
      <w:r>
        <w:tab/>
      </w:r>
      <w:r>
        <w:fldChar w:fldCharType="begin"/>
      </w:r>
      <w:r>
        <w:instrText xml:space="preserve"> PAGEREF _Toc32361 \h </w:instrText>
      </w:r>
      <w:r>
        <w:fldChar w:fldCharType="separate"/>
      </w:r>
      <w:r>
        <w:t>4</w:t>
      </w:r>
      <w:r>
        <w:fldChar w:fldCharType="end"/>
      </w:r>
      <w:r>
        <w:rPr>
          <w:rFonts w:hint="eastAsia" w:ascii="宋体" w:hAnsi="宋体" w:eastAsia="宋体" w:cs="宋体"/>
          <w:color w:val="000000"/>
          <w:szCs w:val="24"/>
        </w:rPr>
        <w:fldChar w:fldCharType="end"/>
      </w:r>
    </w:p>
    <w:p>
      <w:pPr>
        <w:pStyle w:val="23"/>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_Toc22346 </w:instrText>
      </w:r>
      <w:r>
        <w:rPr>
          <w:rFonts w:hint="eastAsia" w:ascii="宋体" w:hAnsi="宋体" w:eastAsia="宋体" w:cs="宋体"/>
          <w:szCs w:val="24"/>
        </w:rPr>
        <w:fldChar w:fldCharType="separate"/>
      </w:r>
      <w:r>
        <w:rPr>
          <w:rFonts w:hint="eastAsia" w:ascii="宋体" w:hAnsi="宋体" w:eastAsia="宋体" w:cs="宋体"/>
        </w:rPr>
        <w:t>2、工程概况</w:t>
      </w:r>
      <w:r>
        <w:tab/>
      </w:r>
      <w:r>
        <w:fldChar w:fldCharType="begin"/>
      </w:r>
      <w:r>
        <w:instrText xml:space="preserve"> PAGEREF _Toc22346 \h </w:instrText>
      </w:r>
      <w:r>
        <w:fldChar w:fldCharType="separate"/>
      </w:r>
      <w:r>
        <w:t>5</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_Toc19993 </w:instrText>
      </w:r>
      <w:r>
        <w:rPr>
          <w:rFonts w:hint="eastAsia" w:ascii="宋体" w:hAnsi="宋体" w:eastAsia="宋体" w:cs="宋体"/>
          <w:szCs w:val="24"/>
        </w:rPr>
        <w:fldChar w:fldCharType="separate"/>
      </w:r>
      <w:r>
        <w:rPr>
          <w:rFonts w:hint="eastAsia" w:ascii="宋体" w:hAnsi="宋体" w:eastAsia="宋体" w:cs="宋体"/>
        </w:rPr>
        <w:t>2.1项目基本情况</w:t>
      </w:r>
      <w:r>
        <w:tab/>
      </w:r>
      <w:r>
        <w:fldChar w:fldCharType="begin"/>
      </w:r>
      <w:r>
        <w:instrText xml:space="preserve"> PAGEREF _Toc19993 \h </w:instrText>
      </w:r>
      <w:r>
        <w:fldChar w:fldCharType="separate"/>
      </w:r>
      <w:r>
        <w:t>5</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_Toc7561 </w:instrText>
      </w:r>
      <w:r>
        <w:rPr>
          <w:rFonts w:hint="eastAsia" w:ascii="宋体" w:hAnsi="宋体" w:eastAsia="宋体" w:cs="宋体"/>
          <w:szCs w:val="24"/>
        </w:rPr>
        <w:fldChar w:fldCharType="separate"/>
      </w:r>
      <w:r>
        <w:rPr>
          <w:rFonts w:hint="eastAsia" w:ascii="宋体" w:hAnsi="宋体" w:eastAsia="宋体" w:cs="宋体"/>
        </w:rPr>
        <w:t>2.2建设内容</w:t>
      </w:r>
      <w:r>
        <w:tab/>
      </w:r>
      <w:r>
        <w:fldChar w:fldCharType="begin"/>
      </w:r>
      <w:r>
        <w:instrText xml:space="preserve"> PAGEREF _Toc7561 \h </w:instrText>
      </w:r>
      <w:r>
        <w:fldChar w:fldCharType="separate"/>
      </w:r>
      <w:r>
        <w:t>6</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_Toc11021 </w:instrText>
      </w:r>
      <w:r>
        <w:rPr>
          <w:rFonts w:hint="eastAsia" w:ascii="宋体" w:hAnsi="宋体" w:eastAsia="宋体" w:cs="宋体"/>
          <w:szCs w:val="24"/>
        </w:rPr>
        <w:fldChar w:fldCharType="separate"/>
      </w:r>
      <w:r>
        <w:rPr>
          <w:rFonts w:hint="eastAsia" w:ascii="宋体" w:hAnsi="宋体" w:eastAsia="宋体" w:cs="宋体"/>
        </w:rPr>
        <w:t>2.3工艺流程</w:t>
      </w:r>
      <w:r>
        <w:tab/>
      </w:r>
      <w:r>
        <w:fldChar w:fldCharType="begin"/>
      </w:r>
      <w:r>
        <w:instrText xml:space="preserve"> PAGEREF _Toc11021 \h </w:instrText>
      </w:r>
      <w:r>
        <w:fldChar w:fldCharType="separate"/>
      </w:r>
      <w:r>
        <w:t>8</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_Toc2233 </w:instrText>
      </w:r>
      <w:r>
        <w:rPr>
          <w:rFonts w:hint="eastAsia" w:ascii="宋体" w:hAnsi="宋体" w:eastAsia="宋体" w:cs="宋体"/>
          <w:szCs w:val="24"/>
        </w:rPr>
        <w:fldChar w:fldCharType="separate"/>
      </w:r>
      <w:r>
        <w:rPr>
          <w:rFonts w:hint="eastAsia" w:ascii="宋体" w:hAnsi="宋体" w:eastAsia="宋体" w:cs="宋体"/>
        </w:rPr>
        <w:t>2.4劳动定员及工作制度</w:t>
      </w:r>
      <w:r>
        <w:tab/>
      </w:r>
      <w:r>
        <w:fldChar w:fldCharType="begin"/>
      </w:r>
      <w:r>
        <w:instrText xml:space="preserve"> PAGEREF _Toc2233 \h </w:instrText>
      </w:r>
      <w:r>
        <w:fldChar w:fldCharType="separate"/>
      </w:r>
      <w:r>
        <w:t>10</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_Toc12284 </w:instrText>
      </w:r>
      <w:r>
        <w:rPr>
          <w:rFonts w:hint="eastAsia" w:ascii="宋体" w:hAnsi="宋体" w:eastAsia="宋体" w:cs="宋体"/>
          <w:szCs w:val="24"/>
        </w:rPr>
        <w:fldChar w:fldCharType="separate"/>
      </w:r>
      <w:r>
        <w:rPr>
          <w:rFonts w:hint="eastAsia" w:ascii="宋体" w:hAnsi="宋体" w:eastAsia="宋体" w:cs="宋体"/>
        </w:rPr>
        <w:t>2.5公用工程</w:t>
      </w:r>
      <w:r>
        <w:tab/>
      </w:r>
      <w:r>
        <w:fldChar w:fldCharType="begin"/>
      </w:r>
      <w:r>
        <w:instrText xml:space="preserve"> PAGEREF _Toc12284 \h </w:instrText>
      </w:r>
      <w:r>
        <w:fldChar w:fldCharType="separate"/>
      </w:r>
      <w:r>
        <w:t>11</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_Toc16524 </w:instrText>
      </w:r>
      <w:r>
        <w:rPr>
          <w:rFonts w:hint="eastAsia" w:ascii="宋体" w:hAnsi="宋体" w:eastAsia="宋体" w:cs="宋体"/>
          <w:szCs w:val="24"/>
        </w:rPr>
        <w:fldChar w:fldCharType="separate"/>
      </w:r>
      <w:r>
        <w:rPr>
          <w:rFonts w:hint="eastAsia" w:ascii="宋体" w:hAnsi="宋体" w:eastAsia="宋体" w:cs="宋体"/>
        </w:rPr>
        <w:t>2.6 环评审批情况</w:t>
      </w:r>
      <w:r>
        <w:tab/>
      </w:r>
      <w:r>
        <w:fldChar w:fldCharType="begin"/>
      </w:r>
      <w:r>
        <w:instrText xml:space="preserve"> PAGEREF _Toc16524 \h </w:instrText>
      </w:r>
      <w:r>
        <w:fldChar w:fldCharType="separate"/>
      </w:r>
      <w:r>
        <w:t>13</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_Toc26180 </w:instrText>
      </w:r>
      <w:r>
        <w:rPr>
          <w:rFonts w:hint="eastAsia" w:ascii="宋体" w:hAnsi="宋体" w:eastAsia="宋体" w:cs="宋体"/>
          <w:szCs w:val="24"/>
        </w:rPr>
        <w:fldChar w:fldCharType="separate"/>
      </w:r>
      <w:r>
        <w:rPr>
          <w:rFonts w:hint="eastAsia" w:ascii="宋体" w:hAnsi="宋体" w:eastAsia="宋体" w:cs="宋体"/>
        </w:rPr>
        <w:t>2.7 项目投资</w:t>
      </w:r>
      <w:r>
        <w:tab/>
      </w:r>
      <w:r>
        <w:fldChar w:fldCharType="begin"/>
      </w:r>
      <w:r>
        <w:instrText xml:space="preserve"> PAGEREF _Toc26180 \h </w:instrText>
      </w:r>
      <w:r>
        <w:fldChar w:fldCharType="separate"/>
      </w:r>
      <w:r>
        <w:t>13</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_Toc28562 </w:instrText>
      </w:r>
      <w:r>
        <w:rPr>
          <w:rFonts w:hint="eastAsia" w:ascii="宋体" w:hAnsi="宋体" w:eastAsia="宋体" w:cs="宋体"/>
          <w:szCs w:val="24"/>
        </w:rPr>
        <w:fldChar w:fldCharType="separate"/>
      </w:r>
      <w:r>
        <w:rPr>
          <w:rFonts w:hint="eastAsia" w:ascii="宋体" w:hAnsi="宋体" w:eastAsia="宋体" w:cs="宋体"/>
        </w:rPr>
        <w:t>2.8项目变动情况</w:t>
      </w:r>
      <w:r>
        <w:tab/>
      </w:r>
      <w:r>
        <w:fldChar w:fldCharType="begin"/>
      </w:r>
      <w:r>
        <w:instrText xml:space="preserve"> PAGEREF _Toc28562 \h </w:instrText>
      </w:r>
      <w:r>
        <w:fldChar w:fldCharType="separate"/>
      </w:r>
      <w:r>
        <w:t>13</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_Toc8757 </w:instrText>
      </w:r>
      <w:r>
        <w:rPr>
          <w:rFonts w:hint="eastAsia" w:ascii="宋体" w:hAnsi="宋体" w:eastAsia="宋体" w:cs="宋体"/>
          <w:szCs w:val="24"/>
        </w:rPr>
        <w:fldChar w:fldCharType="separate"/>
      </w:r>
      <w:r>
        <w:rPr>
          <w:rFonts w:hint="eastAsia" w:ascii="宋体" w:hAnsi="宋体" w:eastAsia="宋体" w:cs="宋体"/>
        </w:rPr>
        <w:t>2.9环境保护“三同时”落实情况</w:t>
      </w:r>
      <w:r>
        <w:tab/>
      </w:r>
      <w:r>
        <w:fldChar w:fldCharType="begin"/>
      </w:r>
      <w:r>
        <w:instrText xml:space="preserve"> PAGEREF _Toc8757 \h </w:instrText>
      </w:r>
      <w:r>
        <w:fldChar w:fldCharType="separate"/>
      </w:r>
      <w:r>
        <w:t>13</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_Toc9433 </w:instrText>
      </w:r>
      <w:r>
        <w:rPr>
          <w:rFonts w:hint="eastAsia" w:ascii="宋体" w:hAnsi="宋体" w:eastAsia="宋体" w:cs="宋体"/>
          <w:szCs w:val="24"/>
        </w:rPr>
        <w:fldChar w:fldCharType="separate"/>
      </w:r>
      <w:r>
        <w:rPr>
          <w:rFonts w:hint="eastAsia" w:ascii="宋体" w:hAnsi="宋体" w:eastAsia="宋体" w:cs="宋体"/>
        </w:rPr>
        <w:t>2.10验收范围及内容</w:t>
      </w:r>
      <w:r>
        <w:tab/>
      </w:r>
      <w:r>
        <w:fldChar w:fldCharType="begin"/>
      </w:r>
      <w:r>
        <w:instrText xml:space="preserve"> PAGEREF _Toc9433 \h </w:instrText>
      </w:r>
      <w:r>
        <w:fldChar w:fldCharType="separate"/>
      </w:r>
      <w:r>
        <w:t>15</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_Toc31413 </w:instrText>
      </w:r>
      <w:r>
        <w:rPr>
          <w:rFonts w:hint="eastAsia" w:ascii="宋体" w:hAnsi="宋体" w:eastAsia="宋体" w:cs="宋体"/>
          <w:szCs w:val="24"/>
        </w:rPr>
        <w:fldChar w:fldCharType="separate"/>
      </w:r>
      <w:r>
        <w:rPr>
          <w:rFonts w:hint="eastAsia" w:ascii="宋体" w:hAnsi="宋体" w:eastAsia="宋体" w:cs="宋体"/>
        </w:rPr>
        <w:t>3、主要污染源及治理措施</w:t>
      </w:r>
      <w:r>
        <w:tab/>
      </w:r>
      <w:r>
        <w:fldChar w:fldCharType="begin"/>
      </w:r>
      <w:r>
        <w:instrText xml:space="preserve"> PAGEREF _Toc31413 \h </w:instrText>
      </w:r>
      <w:r>
        <w:fldChar w:fldCharType="separate"/>
      </w:r>
      <w:r>
        <w:t>16</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_Toc6003 </w:instrText>
      </w:r>
      <w:r>
        <w:rPr>
          <w:rFonts w:hint="eastAsia" w:ascii="宋体" w:hAnsi="宋体" w:eastAsia="宋体" w:cs="宋体"/>
          <w:szCs w:val="24"/>
        </w:rPr>
        <w:fldChar w:fldCharType="separate"/>
      </w:r>
      <w:r>
        <w:rPr>
          <w:rFonts w:hint="eastAsia" w:ascii="宋体" w:hAnsi="宋体" w:eastAsia="宋体" w:cs="宋体"/>
        </w:rPr>
        <w:t>3.1施工期污染源及治理措施</w:t>
      </w:r>
      <w:r>
        <w:tab/>
      </w:r>
      <w:r>
        <w:fldChar w:fldCharType="begin"/>
      </w:r>
      <w:r>
        <w:instrText xml:space="preserve"> PAGEREF _Toc6003 \h </w:instrText>
      </w:r>
      <w:r>
        <w:fldChar w:fldCharType="separate"/>
      </w:r>
      <w:r>
        <w:t>16</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_Toc32566 </w:instrText>
      </w:r>
      <w:r>
        <w:rPr>
          <w:rFonts w:hint="eastAsia" w:ascii="宋体" w:hAnsi="宋体" w:eastAsia="宋体" w:cs="宋体"/>
          <w:szCs w:val="24"/>
        </w:rPr>
        <w:fldChar w:fldCharType="separate"/>
      </w:r>
      <w:r>
        <w:rPr>
          <w:rFonts w:hint="eastAsia" w:ascii="宋体" w:hAnsi="宋体" w:eastAsia="宋体" w:cs="宋体"/>
        </w:rPr>
        <w:t>3.2运营期污染源及治理措施</w:t>
      </w:r>
      <w:r>
        <w:tab/>
      </w:r>
      <w:r>
        <w:fldChar w:fldCharType="begin"/>
      </w:r>
      <w:r>
        <w:instrText xml:space="preserve"> PAGEREF _Toc32566 \h </w:instrText>
      </w:r>
      <w:r>
        <w:fldChar w:fldCharType="separate"/>
      </w:r>
      <w:r>
        <w:t>17</w:t>
      </w:r>
      <w:r>
        <w:fldChar w:fldCharType="end"/>
      </w:r>
      <w:r>
        <w:rPr>
          <w:rFonts w:hint="eastAsia" w:ascii="宋体" w:hAnsi="宋体" w:eastAsia="宋体" w:cs="宋体"/>
          <w:color w:val="000000"/>
          <w:szCs w:val="24"/>
        </w:rPr>
        <w:fldChar w:fldCharType="end"/>
      </w:r>
    </w:p>
    <w:p>
      <w:pPr>
        <w:pStyle w:val="23"/>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_Toc809 </w:instrText>
      </w:r>
      <w:r>
        <w:rPr>
          <w:rFonts w:hint="eastAsia" w:ascii="宋体" w:hAnsi="宋体" w:eastAsia="宋体" w:cs="宋体"/>
          <w:szCs w:val="24"/>
        </w:rPr>
        <w:fldChar w:fldCharType="separate"/>
      </w:r>
      <w:r>
        <w:rPr>
          <w:rFonts w:hint="eastAsia" w:ascii="宋体" w:hAnsi="宋体" w:eastAsia="宋体" w:cs="宋体"/>
        </w:rPr>
        <w:t>4、环评主要结论及环评批复要求</w:t>
      </w:r>
      <w:r>
        <w:tab/>
      </w:r>
      <w:r>
        <w:fldChar w:fldCharType="begin"/>
      </w:r>
      <w:r>
        <w:instrText xml:space="preserve"> PAGEREF _Toc809 \h </w:instrText>
      </w:r>
      <w:r>
        <w:fldChar w:fldCharType="separate"/>
      </w:r>
      <w:r>
        <w:t>24</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_Toc9737 </w:instrText>
      </w:r>
      <w:r>
        <w:rPr>
          <w:rFonts w:hint="eastAsia" w:ascii="宋体" w:hAnsi="宋体" w:eastAsia="宋体" w:cs="宋体"/>
          <w:szCs w:val="24"/>
        </w:rPr>
        <w:fldChar w:fldCharType="separate"/>
      </w:r>
      <w:r>
        <w:rPr>
          <w:rFonts w:hint="eastAsia" w:ascii="宋体" w:hAnsi="宋体" w:eastAsia="宋体" w:cs="宋体"/>
        </w:rPr>
        <w:t>4.1环境影响报告书（表）主要结论与建议</w:t>
      </w:r>
      <w:r>
        <w:tab/>
      </w:r>
      <w:r>
        <w:fldChar w:fldCharType="begin"/>
      </w:r>
      <w:r>
        <w:instrText xml:space="preserve"> PAGEREF _Toc9737 \h </w:instrText>
      </w:r>
      <w:r>
        <w:fldChar w:fldCharType="separate"/>
      </w:r>
      <w:r>
        <w:t>24</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_Toc20465 </w:instrText>
      </w:r>
      <w:r>
        <w:rPr>
          <w:rFonts w:hint="eastAsia" w:ascii="宋体" w:hAnsi="宋体" w:eastAsia="宋体" w:cs="宋体"/>
          <w:szCs w:val="24"/>
        </w:rPr>
        <w:fldChar w:fldCharType="separate"/>
      </w:r>
      <w:r>
        <w:rPr>
          <w:rFonts w:hint="eastAsia" w:ascii="宋体" w:hAnsi="宋体" w:eastAsia="宋体" w:cs="宋体"/>
        </w:rPr>
        <w:t>4.2审批部门审批意见</w:t>
      </w:r>
      <w:r>
        <w:tab/>
      </w:r>
      <w:r>
        <w:fldChar w:fldCharType="begin"/>
      </w:r>
      <w:r>
        <w:instrText xml:space="preserve"> PAGEREF _Toc20465 \h </w:instrText>
      </w:r>
      <w:r>
        <w:fldChar w:fldCharType="separate"/>
      </w:r>
      <w:r>
        <w:t>25</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_Toc32401 </w:instrText>
      </w:r>
      <w:r>
        <w:rPr>
          <w:rFonts w:hint="eastAsia" w:ascii="宋体" w:hAnsi="宋体" w:eastAsia="宋体" w:cs="宋体"/>
          <w:szCs w:val="24"/>
        </w:rPr>
        <w:fldChar w:fldCharType="separate"/>
      </w:r>
      <w:r>
        <w:rPr>
          <w:rFonts w:hint="eastAsia" w:ascii="宋体" w:hAnsi="宋体" w:eastAsia="宋体" w:cs="宋体"/>
        </w:rPr>
        <w:t>4.3审批意见落实情况</w:t>
      </w:r>
      <w:r>
        <w:tab/>
      </w:r>
      <w:r>
        <w:fldChar w:fldCharType="begin"/>
      </w:r>
      <w:r>
        <w:instrText xml:space="preserve"> PAGEREF _Toc32401 \h </w:instrText>
      </w:r>
      <w:r>
        <w:fldChar w:fldCharType="separate"/>
      </w:r>
      <w:r>
        <w:t>27</w:t>
      </w:r>
      <w:r>
        <w:fldChar w:fldCharType="end"/>
      </w:r>
      <w:r>
        <w:rPr>
          <w:rFonts w:hint="eastAsia" w:ascii="宋体" w:hAnsi="宋体" w:eastAsia="宋体" w:cs="宋体"/>
          <w:color w:val="000000"/>
          <w:szCs w:val="24"/>
        </w:rPr>
        <w:fldChar w:fldCharType="end"/>
      </w:r>
    </w:p>
    <w:p>
      <w:pPr>
        <w:pStyle w:val="23"/>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_Toc475 </w:instrText>
      </w:r>
      <w:r>
        <w:rPr>
          <w:rFonts w:hint="eastAsia" w:ascii="宋体" w:hAnsi="宋体" w:eastAsia="宋体" w:cs="宋体"/>
          <w:szCs w:val="24"/>
        </w:rPr>
        <w:fldChar w:fldCharType="separate"/>
      </w:r>
      <w:r>
        <w:rPr>
          <w:rFonts w:hint="eastAsia" w:ascii="宋体" w:hAnsi="宋体" w:eastAsia="宋体" w:cs="宋体"/>
        </w:rPr>
        <w:t>5、验收执行标准</w:t>
      </w:r>
      <w:r>
        <w:tab/>
      </w:r>
      <w:r>
        <w:fldChar w:fldCharType="begin"/>
      </w:r>
      <w:r>
        <w:instrText xml:space="preserve"> PAGEREF _Toc475 \h </w:instrText>
      </w:r>
      <w:r>
        <w:fldChar w:fldCharType="separate"/>
      </w:r>
      <w:r>
        <w:t>29</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_Toc19951 </w:instrText>
      </w:r>
      <w:r>
        <w:rPr>
          <w:rFonts w:hint="eastAsia" w:ascii="宋体" w:hAnsi="宋体" w:eastAsia="宋体" w:cs="宋体"/>
          <w:szCs w:val="24"/>
        </w:rPr>
        <w:fldChar w:fldCharType="separate"/>
      </w:r>
      <w:r>
        <w:rPr>
          <w:rFonts w:hint="eastAsia" w:ascii="宋体" w:hAnsi="宋体" w:eastAsia="宋体" w:cs="宋体"/>
        </w:rPr>
        <w:t>5.1污染物排放执行标准</w:t>
      </w:r>
      <w:r>
        <w:tab/>
      </w:r>
      <w:r>
        <w:fldChar w:fldCharType="begin"/>
      </w:r>
      <w:r>
        <w:instrText xml:space="preserve"> PAGEREF _Toc19951 \h </w:instrText>
      </w:r>
      <w:r>
        <w:fldChar w:fldCharType="separate"/>
      </w:r>
      <w:r>
        <w:t>29</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_Toc7564 </w:instrText>
      </w:r>
      <w:r>
        <w:rPr>
          <w:rFonts w:hint="eastAsia" w:ascii="宋体" w:hAnsi="宋体" w:eastAsia="宋体" w:cs="宋体"/>
          <w:szCs w:val="24"/>
        </w:rPr>
        <w:fldChar w:fldCharType="separate"/>
      </w:r>
      <w:r>
        <w:rPr>
          <w:rFonts w:hint="eastAsia" w:ascii="宋体" w:hAnsi="宋体" w:eastAsia="宋体" w:cs="宋体"/>
        </w:rPr>
        <w:t>5.2主要污染物总量控制指标</w:t>
      </w:r>
      <w:r>
        <w:tab/>
      </w:r>
      <w:r>
        <w:fldChar w:fldCharType="begin"/>
      </w:r>
      <w:r>
        <w:instrText xml:space="preserve"> PAGEREF _Toc7564 \h </w:instrText>
      </w:r>
      <w:r>
        <w:fldChar w:fldCharType="separate"/>
      </w:r>
      <w:r>
        <w:t>30</w:t>
      </w:r>
      <w:r>
        <w:fldChar w:fldCharType="end"/>
      </w:r>
      <w:r>
        <w:rPr>
          <w:rFonts w:hint="eastAsia" w:ascii="宋体" w:hAnsi="宋体" w:eastAsia="宋体" w:cs="宋体"/>
          <w:color w:val="000000"/>
          <w:szCs w:val="24"/>
        </w:rPr>
        <w:fldChar w:fldCharType="end"/>
      </w:r>
    </w:p>
    <w:p>
      <w:pPr>
        <w:pStyle w:val="23"/>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_Toc12822 </w:instrText>
      </w:r>
      <w:r>
        <w:rPr>
          <w:rFonts w:hint="eastAsia" w:ascii="宋体" w:hAnsi="宋体" w:eastAsia="宋体" w:cs="宋体"/>
          <w:szCs w:val="24"/>
        </w:rPr>
        <w:fldChar w:fldCharType="separate"/>
      </w:r>
      <w:r>
        <w:rPr>
          <w:rFonts w:hint="eastAsia" w:ascii="宋体" w:hAnsi="宋体" w:eastAsia="宋体" w:cs="宋体"/>
        </w:rPr>
        <w:t>6、质量保证措施和监测分析方法</w:t>
      </w:r>
      <w:r>
        <w:tab/>
      </w:r>
      <w:r>
        <w:fldChar w:fldCharType="begin"/>
      </w:r>
      <w:r>
        <w:instrText xml:space="preserve"> PAGEREF _Toc12822 \h </w:instrText>
      </w:r>
      <w:r>
        <w:fldChar w:fldCharType="separate"/>
      </w:r>
      <w:r>
        <w:t>31</w:t>
      </w:r>
      <w:r>
        <w:fldChar w:fldCharType="end"/>
      </w:r>
      <w:r>
        <w:rPr>
          <w:rFonts w:hint="eastAsia" w:ascii="宋体" w:hAnsi="宋体" w:eastAsia="宋体" w:cs="宋体"/>
          <w:color w:val="000000"/>
          <w:szCs w:val="24"/>
        </w:rPr>
        <w:fldChar w:fldCharType="end"/>
      </w:r>
    </w:p>
    <w:p>
      <w:pPr>
        <w:pStyle w:val="23"/>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_Toc19851 </w:instrText>
      </w:r>
      <w:r>
        <w:rPr>
          <w:rFonts w:hint="eastAsia" w:ascii="宋体" w:hAnsi="宋体" w:eastAsia="宋体" w:cs="宋体"/>
          <w:szCs w:val="24"/>
        </w:rPr>
        <w:fldChar w:fldCharType="separate"/>
      </w:r>
      <w:r>
        <w:rPr>
          <w:rFonts w:hint="eastAsia" w:ascii="宋体" w:hAnsi="宋体" w:eastAsia="宋体" w:cs="宋体"/>
        </w:rPr>
        <w:t>7、验收检测结果及分析</w:t>
      </w:r>
      <w:r>
        <w:tab/>
      </w:r>
      <w:r>
        <w:fldChar w:fldCharType="begin"/>
      </w:r>
      <w:r>
        <w:instrText xml:space="preserve"> PAGEREF _Toc19851 \h </w:instrText>
      </w:r>
      <w:r>
        <w:fldChar w:fldCharType="separate"/>
      </w:r>
      <w:r>
        <w:t>32</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_Toc1636 </w:instrText>
      </w:r>
      <w:r>
        <w:rPr>
          <w:rFonts w:hint="eastAsia" w:ascii="宋体" w:hAnsi="宋体" w:eastAsia="宋体" w:cs="宋体"/>
          <w:szCs w:val="24"/>
        </w:rPr>
        <w:fldChar w:fldCharType="separate"/>
      </w:r>
      <w:r>
        <w:rPr>
          <w:rFonts w:hint="eastAsia" w:ascii="宋体" w:hAnsi="宋体" w:eastAsia="宋体" w:cs="宋体"/>
        </w:rPr>
        <w:t>7.1污染物排放检测结果</w:t>
      </w:r>
      <w:r>
        <w:tab/>
      </w:r>
      <w:r>
        <w:fldChar w:fldCharType="begin"/>
      </w:r>
      <w:r>
        <w:instrText xml:space="preserve"> PAGEREF _Toc1636 \h </w:instrText>
      </w:r>
      <w:r>
        <w:fldChar w:fldCharType="separate"/>
      </w:r>
      <w:r>
        <w:t>32</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_Toc14049 </w:instrText>
      </w:r>
      <w:r>
        <w:rPr>
          <w:rFonts w:hint="eastAsia" w:ascii="宋体" w:hAnsi="宋体" w:eastAsia="宋体" w:cs="宋体"/>
          <w:szCs w:val="24"/>
        </w:rPr>
        <w:fldChar w:fldCharType="separate"/>
      </w:r>
      <w:r>
        <w:rPr>
          <w:rFonts w:hint="eastAsia" w:ascii="宋体" w:hAnsi="宋体" w:eastAsia="宋体" w:cs="宋体"/>
        </w:rPr>
        <w:t>7.2污染物排放总量核算</w:t>
      </w:r>
      <w:r>
        <w:tab/>
      </w:r>
      <w:r>
        <w:fldChar w:fldCharType="begin"/>
      </w:r>
      <w:r>
        <w:instrText xml:space="preserve"> PAGEREF _Toc14049 \h </w:instrText>
      </w:r>
      <w:r>
        <w:fldChar w:fldCharType="separate"/>
      </w:r>
      <w:r>
        <w:t>32</w:t>
      </w:r>
      <w:r>
        <w:fldChar w:fldCharType="end"/>
      </w:r>
      <w:r>
        <w:rPr>
          <w:rFonts w:hint="eastAsia" w:ascii="宋体" w:hAnsi="宋体" w:eastAsia="宋体" w:cs="宋体"/>
          <w:color w:val="000000"/>
          <w:szCs w:val="24"/>
        </w:rPr>
        <w:fldChar w:fldCharType="end"/>
      </w:r>
    </w:p>
    <w:p>
      <w:pPr>
        <w:pStyle w:val="23"/>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_Toc24123 </w:instrText>
      </w:r>
      <w:r>
        <w:rPr>
          <w:rFonts w:hint="eastAsia" w:ascii="宋体" w:hAnsi="宋体" w:eastAsia="宋体" w:cs="宋体"/>
          <w:szCs w:val="24"/>
        </w:rPr>
        <w:fldChar w:fldCharType="separate"/>
      </w:r>
      <w:r>
        <w:rPr>
          <w:rFonts w:hint="eastAsia" w:ascii="宋体" w:hAnsi="宋体" w:eastAsia="宋体" w:cs="宋体"/>
        </w:rPr>
        <w:t>8、环境管理检查</w:t>
      </w:r>
      <w:r>
        <w:tab/>
      </w:r>
      <w:r>
        <w:fldChar w:fldCharType="begin"/>
      </w:r>
      <w:r>
        <w:instrText xml:space="preserve"> PAGEREF _Toc24123 \h </w:instrText>
      </w:r>
      <w:r>
        <w:fldChar w:fldCharType="separate"/>
      </w:r>
      <w:r>
        <w:t>33</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_Toc8165 </w:instrText>
      </w:r>
      <w:r>
        <w:rPr>
          <w:rFonts w:hint="eastAsia" w:ascii="宋体" w:hAnsi="宋体" w:eastAsia="宋体" w:cs="宋体"/>
          <w:szCs w:val="24"/>
        </w:rPr>
        <w:fldChar w:fldCharType="separate"/>
      </w:r>
      <w:r>
        <w:rPr>
          <w:rFonts w:hint="eastAsia" w:ascii="宋体" w:hAnsi="宋体" w:eastAsia="宋体" w:cs="宋体"/>
        </w:rPr>
        <w:t>8.1环保管理机构</w:t>
      </w:r>
      <w:r>
        <w:tab/>
      </w:r>
      <w:r>
        <w:fldChar w:fldCharType="begin"/>
      </w:r>
      <w:r>
        <w:instrText xml:space="preserve"> PAGEREF _Toc8165 \h </w:instrText>
      </w:r>
      <w:r>
        <w:fldChar w:fldCharType="separate"/>
      </w:r>
      <w:r>
        <w:t>33</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_Toc19761 </w:instrText>
      </w:r>
      <w:r>
        <w:rPr>
          <w:rFonts w:hint="eastAsia" w:ascii="宋体" w:hAnsi="宋体" w:eastAsia="宋体" w:cs="宋体"/>
          <w:szCs w:val="24"/>
        </w:rPr>
        <w:fldChar w:fldCharType="separate"/>
      </w:r>
      <w:r>
        <w:rPr>
          <w:rFonts w:hint="eastAsia" w:ascii="宋体" w:hAnsi="宋体" w:eastAsia="宋体" w:cs="宋体"/>
        </w:rPr>
        <w:t>8.2施工期环境管理</w:t>
      </w:r>
      <w:r>
        <w:tab/>
      </w:r>
      <w:r>
        <w:fldChar w:fldCharType="begin"/>
      </w:r>
      <w:r>
        <w:instrText xml:space="preserve"> PAGEREF _Toc19761 \h </w:instrText>
      </w:r>
      <w:r>
        <w:fldChar w:fldCharType="separate"/>
      </w:r>
      <w:r>
        <w:t>33</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_Toc25122 </w:instrText>
      </w:r>
      <w:r>
        <w:rPr>
          <w:rFonts w:hint="eastAsia" w:ascii="宋体" w:hAnsi="宋体" w:eastAsia="宋体" w:cs="宋体"/>
          <w:szCs w:val="24"/>
        </w:rPr>
        <w:fldChar w:fldCharType="separate"/>
      </w:r>
      <w:r>
        <w:rPr>
          <w:rFonts w:hint="eastAsia" w:ascii="宋体" w:hAnsi="宋体" w:eastAsia="宋体" w:cs="宋体"/>
        </w:rPr>
        <w:t>8.3运行期环境管理</w:t>
      </w:r>
      <w:r>
        <w:tab/>
      </w:r>
      <w:r>
        <w:fldChar w:fldCharType="begin"/>
      </w:r>
      <w:r>
        <w:instrText xml:space="preserve"> PAGEREF _Toc25122 \h </w:instrText>
      </w:r>
      <w:r>
        <w:fldChar w:fldCharType="separate"/>
      </w:r>
      <w:r>
        <w:t>33</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_Toc12738 </w:instrText>
      </w:r>
      <w:r>
        <w:rPr>
          <w:rFonts w:hint="eastAsia" w:ascii="宋体" w:hAnsi="宋体" w:eastAsia="宋体" w:cs="宋体"/>
          <w:szCs w:val="24"/>
        </w:rPr>
        <w:fldChar w:fldCharType="separate"/>
      </w:r>
      <w:r>
        <w:rPr>
          <w:rFonts w:hint="eastAsia" w:ascii="宋体" w:hAnsi="宋体" w:eastAsia="宋体" w:cs="宋体"/>
        </w:rPr>
        <w:t>8.4社会环境影响情况调查</w:t>
      </w:r>
      <w:r>
        <w:tab/>
      </w:r>
      <w:r>
        <w:fldChar w:fldCharType="begin"/>
      </w:r>
      <w:r>
        <w:instrText xml:space="preserve"> PAGEREF _Toc12738 \h </w:instrText>
      </w:r>
      <w:r>
        <w:fldChar w:fldCharType="separate"/>
      </w:r>
      <w:r>
        <w:t>33</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_Toc10427 </w:instrText>
      </w:r>
      <w:r>
        <w:rPr>
          <w:rFonts w:hint="eastAsia" w:ascii="宋体" w:hAnsi="宋体" w:eastAsia="宋体" w:cs="宋体"/>
          <w:szCs w:val="24"/>
        </w:rPr>
        <w:fldChar w:fldCharType="separate"/>
      </w:r>
      <w:r>
        <w:rPr>
          <w:rFonts w:hint="eastAsia" w:ascii="宋体" w:hAnsi="宋体" w:eastAsia="宋体" w:cs="宋体"/>
        </w:rPr>
        <w:t>8.5环境管理情况分析</w:t>
      </w:r>
      <w:r>
        <w:tab/>
      </w:r>
      <w:r>
        <w:fldChar w:fldCharType="begin"/>
      </w:r>
      <w:r>
        <w:instrText xml:space="preserve"> PAGEREF _Toc10427 \h </w:instrText>
      </w:r>
      <w:r>
        <w:fldChar w:fldCharType="separate"/>
      </w:r>
      <w:r>
        <w:t>33</w:t>
      </w:r>
      <w:r>
        <w:fldChar w:fldCharType="end"/>
      </w:r>
      <w:r>
        <w:rPr>
          <w:rFonts w:hint="eastAsia" w:ascii="宋体" w:hAnsi="宋体" w:eastAsia="宋体" w:cs="宋体"/>
          <w:color w:val="000000"/>
          <w:szCs w:val="24"/>
        </w:rPr>
        <w:fldChar w:fldCharType="end"/>
      </w:r>
    </w:p>
    <w:p>
      <w:pPr>
        <w:pStyle w:val="23"/>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_Toc7861 </w:instrText>
      </w:r>
      <w:r>
        <w:rPr>
          <w:rFonts w:hint="eastAsia" w:ascii="宋体" w:hAnsi="宋体" w:eastAsia="宋体" w:cs="宋体"/>
          <w:szCs w:val="24"/>
        </w:rPr>
        <w:fldChar w:fldCharType="separate"/>
      </w:r>
      <w:r>
        <w:rPr>
          <w:rFonts w:hint="eastAsia" w:ascii="宋体" w:hAnsi="宋体" w:eastAsia="宋体" w:cs="宋体"/>
        </w:rPr>
        <w:t>9、结论和建议</w:t>
      </w:r>
      <w:r>
        <w:tab/>
      </w:r>
      <w:r>
        <w:fldChar w:fldCharType="begin"/>
      </w:r>
      <w:r>
        <w:instrText xml:space="preserve"> PAGEREF _Toc7861 \h </w:instrText>
      </w:r>
      <w:r>
        <w:fldChar w:fldCharType="separate"/>
      </w:r>
      <w:r>
        <w:t>34</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_Toc18116 </w:instrText>
      </w:r>
      <w:r>
        <w:rPr>
          <w:rFonts w:hint="eastAsia" w:ascii="宋体" w:hAnsi="宋体" w:eastAsia="宋体" w:cs="宋体"/>
          <w:szCs w:val="24"/>
        </w:rPr>
        <w:fldChar w:fldCharType="separate"/>
      </w:r>
      <w:r>
        <w:rPr>
          <w:rFonts w:hint="eastAsia" w:ascii="宋体" w:hAnsi="宋体" w:eastAsia="宋体" w:cs="宋体"/>
        </w:rPr>
        <w:t>9.1项目验收结论</w:t>
      </w:r>
      <w:r>
        <w:tab/>
      </w:r>
      <w:r>
        <w:fldChar w:fldCharType="begin"/>
      </w:r>
      <w:r>
        <w:instrText xml:space="preserve"> PAGEREF _Toc18116 \h </w:instrText>
      </w:r>
      <w:r>
        <w:fldChar w:fldCharType="separate"/>
      </w:r>
      <w:r>
        <w:t>34</w:t>
      </w:r>
      <w:r>
        <w:fldChar w:fldCharType="end"/>
      </w:r>
      <w:r>
        <w:rPr>
          <w:rFonts w:hint="eastAsia" w:ascii="宋体" w:hAnsi="宋体" w:eastAsia="宋体" w:cs="宋体"/>
          <w:color w:val="000000"/>
          <w:szCs w:val="24"/>
        </w:rPr>
        <w:fldChar w:fldCharType="end"/>
      </w:r>
    </w:p>
    <w:p>
      <w:pPr>
        <w:pStyle w:val="27"/>
        <w:tabs>
          <w:tab w:val="right" w:leader="dot" w:pos="8306"/>
        </w:tabs>
      </w:pPr>
      <w:r>
        <w:rPr>
          <w:rFonts w:hint="eastAsia" w:ascii="宋体" w:hAnsi="宋体" w:eastAsia="宋体" w:cs="宋体"/>
          <w:color w:val="000000"/>
          <w:szCs w:val="24"/>
        </w:rPr>
        <w:fldChar w:fldCharType="begin"/>
      </w:r>
      <w:r>
        <w:rPr>
          <w:rFonts w:hint="eastAsia" w:ascii="宋体" w:hAnsi="宋体" w:eastAsia="宋体" w:cs="宋体"/>
          <w:szCs w:val="24"/>
        </w:rPr>
        <w:instrText xml:space="preserve"> HYPERLINK \l _Toc8341 </w:instrText>
      </w:r>
      <w:r>
        <w:rPr>
          <w:rFonts w:hint="eastAsia" w:ascii="宋体" w:hAnsi="宋体" w:eastAsia="宋体" w:cs="宋体"/>
          <w:szCs w:val="24"/>
        </w:rPr>
        <w:fldChar w:fldCharType="separate"/>
      </w:r>
      <w:r>
        <w:rPr>
          <w:rFonts w:hint="eastAsia" w:ascii="宋体" w:hAnsi="宋体" w:eastAsia="宋体" w:cs="宋体"/>
        </w:rPr>
        <w:t>9.2建议</w:t>
      </w:r>
      <w:r>
        <w:tab/>
      </w:r>
      <w:r>
        <w:fldChar w:fldCharType="begin"/>
      </w:r>
      <w:r>
        <w:instrText xml:space="preserve"> PAGEREF _Toc8341 \h </w:instrText>
      </w:r>
      <w:r>
        <w:fldChar w:fldCharType="separate"/>
      </w:r>
      <w:r>
        <w:t>35</w:t>
      </w:r>
      <w:r>
        <w:fldChar w:fldCharType="end"/>
      </w:r>
      <w:r>
        <w:rPr>
          <w:rFonts w:hint="eastAsia" w:ascii="宋体" w:hAnsi="宋体" w:eastAsia="宋体" w:cs="宋体"/>
          <w:color w:val="000000"/>
          <w:szCs w:val="24"/>
        </w:rPr>
        <w:fldChar w:fldCharType="end"/>
      </w:r>
    </w:p>
    <w:p>
      <w:pPr>
        <w:spacing w:line="500" w:lineRule="exact"/>
        <w:ind w:firstLine="480"/>
        <w:rPr>
          <w:rFonts w:hint="eastAsia" w:ascii="宋体" w:hAnsi="宋体" w:eastAsia="宋体" w:cs="宋体"/>
          <w:color w:val="000000"/>
          <w:szCs w:val="30"/>
        </w:rPr>
      </w:pPr>
      <w:r>
        <w:rPr>
          <w:rFonts w:hint="eastAsia" w:ascii="宋体" w:hAnsi="宋体" w:eastAsia="宋体" w:cs="宋体"/>
          <w:color w:val="000000"/>
          <w:szCs w:val="24"/>
        </w:rPr>
        <w:fldChar w:fldCharType="end"/>
      </w:r>
    </w:p>
    <w:p>
      <w:pPr>
        <w:spacing w:line="500" w:lineRule="exact"/>
        <w:ind w:firstLine="0" w:firstLineChars="0"/>
        <w:rPr>
          <w:rFonts w:hint="eastAsia" w:ascii="宋体" w:hAnsi="宋体" w:eastAsia="宋体" w:cs="宋体"/>
          <w:color w:val="000000"/>
          <w:szCs w:val="30"/>
        </w:rPr>
        <w:sectPr>
          <w:headerReference r:id="rId11" w:type="default"/>
          <w:footerReference r:id="rId12" w:type="default"/>
          <w:pgSz w:w="11906" w:h="16838"/>
          <w:pgMar w:top="1440" w:right="1800" w:bottom="1440" w:left="1800" w:header="851" w:footer="850" w:gutter="0"/>
          <w:pgNumType w:start="1"/>
          <w:cols w:space="425" w:num="1"/>
          <w:docGrid w:type="lines" w:linePitch="312" w:charSpace="0"/>
        </w:sectPr>
      </w:pPr>
    </w:p>
    <w:p>
      <w:pPr>
        <w:pStyle w:val="4"/>
        <w:rPr>
          <w:rFonts w:hint="eastAsia" w:ascii="宋体" w:hAnsi="宋体" w:eastAsia="宋体" w:cs="宋体"/>
        </w:rPr>
      </w:pPr>
      <w:bookmarkStart w:id="0" w:name="_Toc244"/>
      <w:bookmarkStart w:id="1" w:name="_Toc503451618"/>
      <w:bookmarkStart w:id="2" w:name="_Toc30083299"/>
      <w:r>
        <w:rPr>
          <w:rFonts w:hint="eastAsia" w:ascii="宋体" w:hAnsi="宋体" w:eastAsia="宋体" w:cs="宋体"/>
        </w:rPr>
        <w:t>前言</w:t>
      </w:r>
      <w:bookmarkEnd w:id="0"/>
    </w:p>
    <w:bookmarkEnd w:id="1"/>
    <w:bookmarkEnd w:id="2"/>
    <w:p>
      <w:pPr>
        <w:spacing w:line="500" w:lineRule="atLeast"/>
        <w:ind w:firstLine="470" w:firstLineChars="196"/>
        <w:rPr>
          <w:rFonts w:hint="eastAsia" w:ascii="宋体" w:hAnsi="宋体" w:cs="宋体"/>
          <w:color w:val="auto"/>
          <w:sz w:val="24"/>
          <w:szCs w:val="24"/>
          <w:lang w:val="en-US" w:eastAsia="zh-CN"/>
        </w:rPr>
      </w:pPr>
      <w:r>
        <w:rPr>
          <w:rFonts w:hint="eastAsia" w:ascii="宋体" w:hAnsi="宋体" w:eastAsia="宋体" w:cs="宋体"/>
        </w:rPr>
        <w:t>本项目为</w:t>
      </w:r>
      <w:r>
        <w:rPr>
          <w:rFonts w:hint="eastAsia" w:ascii="宋体" w:hAnsi="宋体" w:cs="宋体"/>
          <w:lang w:eastAsia="zh-CN"/>
        </w:rPr>
        <w:t>河北友联建筑材料股份有限公司环保设施改造提升项目</w:t>
      </w:r>
      <w:r>
        <w:rPr>
          <w:rFonts w:hint="eastAsia" w:ascii="宋体" w:hAnsi="宋体" w:eastAsia="宋体" w:cs="宋体"/>
        </w:rPr>
        <w:t>，由</w:t>
      </w:r>
      <w:r>
        <w:rPr>
          <w:rFonts w:hint="eastAsia" w:ascii="宋体" w:hAnsi="宋体" w:cs="宋体"/>
          <w:lang w:eastAsia="zh-CN"/>
        </w:rPr>
        <w:t>河北友联建筑材料股份有限公司</w:t>
      </w:r>
      <w:r>
        <w:rPr>
          <w:rFonts w:hint="eastAsia" w:ascii="宋体" w:hAnsi="宋体" w:eastAsia="宋体" w:cs="宋体"/>
        </w:rPr>
        <w:t>建设，建设地点位于</w:t>
      </w:r>
      <w:r>
        <w:rPr>
          <w:rFonts w:hint="eastAsia" w:ascii="宋体" w:hAnsi="宋体" w:cs="宋体"/>
          <w:lang w:eastAsia="zh-CN"/>
        </w:rPr>
        <w:t>赤城县赤城镇孙家庄村</w:t>
      </w:r>
      <w:r>
        <w:rPr>
          <w:rFonts w:hint="eastAsia" w:ascii="宋体" w:hAnsi="宋体" w:eastAsia="宋体" w:cs="宋体"/>
        </w:rPr>
        <w:t>。</w:t>
      </w:r>
      <w:r>
        <w:rPr>
          <w:rFonts w:hint="eastAsia" w:ascii="宋体" w:hAnsi="宋体" w:cs="宋体"/>
          <w:color w:val="auto"/>
          <w:sz w:val="24"/>
          <w:szCs w:val="24"/>
          <w:lang w:val="en-US" w:eastAsia="zh-CN"/>
        </w:rPr>
        <w:t>项目占地面积9397平方米，建筑面积5500平方米，土地性质为工业用地。河北友联建筑材料股份有限公司于2010年5月委托张家口市环境科学研究所编制《商品混凝土搅拌站项目环境影响报告表》，2010年05月10日取得赤城县环境保护局审批意见，同意项目建设HZS120混凝土生产线2条及其配套设施，建设规模为年产混凝土6万立方米。2013年11月22日取得赤城县环境保护局关于《商品混凝土项目环境影响报告表》竣工环境保护验收意见。2017年4月公司委托有资质单位编制《新建年产35万吨预拌干粉砂浆项目环境影响报告表》，2017年04月22日取得赤城县环境保护局审批意见，同意项目建设年产35万吨预拌干粉砂浆生产线1条及其配套设施，建设规模为年产预拌干粉砂浆35万吨。2017年11月20日取得赤城县环境保护局关于《新建年产35万吨预拌干粉砂浆项目环境影响报告表》竣工环境保护验收意见。</w:t>
      </w:r>
    </w:p>
    <w:p>
      <w:pPr>
        <w:spacing w:line="500" w:lineRule="atLeast"/>
        <w:ind w:firstLine="470" w:firstLineChars="196"/>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随着城市的稳定发展，城市建设需要大量的混凝土以及原项目运行年代久远，环保设备落后，污染物排放标准更新，企业为符合政策要求。因此，河北友联建筑材料股份有限公司拟投资100万在现有厂区建设“河北友联建筑材料股份有限公司环保设施改造提升项目”，主要建设规模及内容：设置在线环保监测系统一套，更换洒水车，更换车辆喷淋设备一套，硬化道路和院面，更换除尘设施等。</w:t>
      </w:r>
      <w:r>
        <w:rPr>
          <w:rFonts w:hint="eastAsia" w:ascii="宋体" w:hAnsi="宋体" w:eastAsia="宋体" w:cs="宋体"/>
          <w:color w:val="auto"/>
          <w:sz w:val="24"/>
          <w:szCs w:val="24"/>
          <w:lang w:val="en-US" w:eastAsia="zh-CN"/>
        </w:rPr>
        <w:t>2023年11月21日，赤城县行政审批局出具关于河北友联建筑材料股份有限公司《河北友联建筑材料股份有限公司环保设施改造提升项目》备案的批复，赤审批建设技改备字〔2023〕8号。</w:t>
      </w:r>
    </w:p>
    <w:p>
      <w:pPr>
        <w:ind w:firstLine="480"/>
        <w:rPr>
          <w:rFonts w:hint="eastAsia" w:ascii="宋体" w:hAnsi="宋体" w:eastAsia="宋体" w:cs="宋体"/>
        </w:rPr>
      </w:pPr>
      <w:r>
        <w:rPr>
          <w:rFonts w:hint="eastAsia" w:ascii="宋体" w:hAnsi="宋体" w:eastAsia="宋体" w:cs="宋体"/>
          <w:lang w:val="en-US" w:eastAsia="zh-CN"/>
        </w:rPr>
        <w:t>2023年12月，</w:t>
      </w:r>
      <w:r>
        <w:rPr>
          <w:rFonts w:hint="eastAsia" w:ascii="宋体" w:hAnsi="宋体" w:cs="宋体"/>
          <w:lang w:val="en-US" w:eastAsia="zh-CN"/>
        </w:rPr>
        <w:t>河北友联建筑材料股份有限公司</w:t>
      </w:r>
      <w:r>
        <w:rPr>
          <w:rFonts w:hint="eastAsia" w:ascii="宋体" w:hAnsi="宋体" w:eastAsia="宋体" w:cs="宋体"/>
          <w:lang w:val="en-US" w:eastAsia="zh-CN"/>
        </w:rPr>
        <w:t>委托张家口昊峰环保科技有限公司编制了《</w:t>
      </w:r>
      <w:r>
        <w:rPr>
          <w:rFonts w:hint="eastAsia" w:ascii="宋体" w:hAnsi="宋体" w:cs="宋体"/>
          <w:lang w:val="en-US" w:eastAsia="zh-CN"/>
        </w:rPr>
        <w:t>河北友联建筑材料股份有限公司河北友联建筑材料股份有限公司环保设施改造提升项目</w:t>
      </w:r>
      <w:r>
        <w:rPr>
          <w:rFonts w:hint="eastAsia" w:ascii="宋体" w:hAnsi="宋体" w:eastAsia="宋体" w:cs="宋体"/>
          <w:lang w:val="en-US" w:eastAsia="zh-CN"/>
        </w:rPr>
        <w:t>环境影响报告表》，并于2024年01月</w:t>
      </w:r>
      <w:r>
        <w:rPr>
          <w:rFonts w:hint="eastAsia" w:ascii="宋体" w:hAnsi="宋体" w:cs="宋体"/>
          <w:lang w:val="en-US" w:eastAsia="zh-CN"/>
        </w:rPr>
        <w:t>29</w:t>
      </w:r>
      <w:r>
        <w:rPr>
          <w:rFonts w:hint="eastAsia" w:ascii="宋体" w:hAnsi="宋体" w:eastAsia="宋体" w:cs="宋体"/>
          <w:lang w:val="en-US" w:eastAsia="zh-CN"/>
        </w:rPr>
        <w:t>日取得</w:t>
      </w:r>
      <w:r>
        <w:rPr>
          <w:rFonts w:hint="eastAsia" w:ascii="宋体" w:hAnsi="宋体" w:cs="宋体"/>
          <w:lang w:val="en-US" w:eastAsia="zh-CN"/>
        </w:rPr>
        <w:t>张家口市行政审批局</w:t>
      </w:r>
      <w:r>
        <w:rPr>
          <w:rFonts w:hint="eastAsia" w:ascii="宋体" w:hAnsi="宋体" w:eastAsia="宋体" w:cs="宋体"/>
          <w:lang w:val="en-US" w:eastAsia="zh-CN"/>
        </w:rPr>
        <w:t>的审批意见（</w:t>
      </w:r>
      <w:r>
        <w:rPr>
          <w:rFonts w:hint="eastAsia" w:ascii="宋体" w:hAnsi="宋体" w:cs="宋体"/>
          <w:lang w:val="en-US" w:eastAsia="zh-CN"/>
        </w:rPr>
        <w:t>张行审立字【2024】71号</w:t>
      </w:r>
      <w:r>
        <w:rPr>
          <w:rFonts w:hint="eastAsia" w:ascii="宋体" w:hAnsi="宋体" w:eastAsia="宋体" w:cs="宋体"/>
          <w:lang w:val="en-US" w:eastAsia="zh-CN"/>
        </w:rPr>
        <w:t>）</w:t>
      </w:r>
      <w:r>
        <w:rPr>
          <w:rFonts w:hint="eastAsia" w:ascii="宋体" w:hAnsi="宋体" w:eastAsia="宋体" w:cs="宋体"/>
        </w:rPr>
        <w:t>。同意建设单位按照环评文件要求进行建设。</w:t>
      </w:r>
    </w:p>
    <w:p>
      <w:pPr>
        <w:ind w:firstLine="480"/>
        <w:rPr>
          <w:rFonts w:hint="eastAsia" w:ascii="宋体" w:hAnsi="宋体" w:eastAsia="宋体" w:cs="宋体"/>
        </w:rPr>
      </w:pPr>
      <w:r>
        <w:rPr>
          <w:rFonts w:hint="eastAsia" w:ascii="宋体" w:hAnsi="宋体" w:eastAsia="宋体" w:cs="宋体"/>
        </w:rPr>
        <w:t>目前项目已建设完成。</w:t>
      </w:r>
      <w:r>
        <w:rPr>
          <w:rFonts w:hint="eastAsia" w:ascii="宋体" w:hAnsi="宋体" w:cs="宋体"/>
          <w:lang w:eastAsia="zh-CN"/>
        </w:rPr>
        <w:t>河北友联建筑材料股份有限公司</w:t>
      </w:r>
      <w:r>
        <w:rPr>
          <w:rFonts w:hint="eastAsia" w:ascii="宋体" w:hAnsi="宋体" w:eastAsia="宋体" w:cs="宋体"/>
        </w:rPr>
        <w:t>按照《建设项目环境影响评价文件审批及建设单位自主开展环境保护设施验收工作指引（试行）》（冀环办字函〔2017〕727号）文件要求，开展竣工环境保护验收工作。并编制完成了《</w:t>
      </w:r>
      <w:r>
        <w:rPr>
          <w:rFonts w:hint="eastAsia" w:ascii="宋体" w:hAnsi="宋体" w:cs="宋体"/>
          <w:lang w:eastAsia="zh-CN"/>
        </w:rPr>
        <w:t>河北友联建筑材料股份有限公司环保设施改造提升项目</w:t>
      </w:r>
      <w:r>
        <w:rPr>
          <w:rFonts w:hint="eastAsia" w:ascii="宋体" w:hAnsi="宋体" w:eastAsia="宋体" w:cs="宋体"/>
        </w:rPr>
        <w:t>竣工环境保护验收报告》。</w:t>
      </w:r>
    </w:p>
    <w:p>
      <w:pPr>
        <w:ind w:firstLine="480"/>
        <w:rPr>
          <w:rFonts w:hint="eastAsia" w:ascii="宋体" w:hAnsi="宋体" w:eastAsia="宋体" w:cs="宋体"/>
        </w:rPr>
      </w:pPr>
      <w:r>
        <w:rPr>
          <w:rFonts w:hint="eastAsia" w:ascii="宋体" w:hAnsi="宋体" w:eastAsia="宋体" w:cs="宋体"/>
        </w:rPr>
        <w:t>由于本项目为混凝土搅拌项目，项目建设完成后已进入冬季，无法正式运行，公司目前处于停产状态。因此，项目污染源无法满足验收监测条件。</w:t>
      </w:r>
    </w:p>
    <w:p>
      <w:pPr>
        <w:ind w:firstLine="480"/>
        <w:rPr>
          <w:rFonts w:hint="eastAsia" w:ascii="宋体" w:hAnsi="宋体" w:eastAsia="宋体" w:cs="宋体"/>
        </w:rPr>
      </w:pPr>
      <w:r>
        <w:rPr>
          <w:rFonts w:hint="eastAsia" w:ascii="宋体" w:hAnsi="宋体" w:eastAsia="宋体" w:cs="宋体"/>
        </w:rPr>
        <w:t>本次验收内容仅包含《</w:t>
      </w:r>
      <w:r>
        <w:rPr>
          <w:rFonts w:hint="eastAsia" w:ascii="宋体" w:hAnsi="宋体" w:cs="宋体"/>
          <w:lang w:eastAsia="zh-CN"/>
        </w:rPr>
        <w:t>河北友联建筑材料股份有限公司环保设施改造提升项目</w:t>
      </w:r>
      <w:r>
        <w:rPr>
          <w:rFonts w:hint="eastAsia" w:ascii="宋体" w:hAnsi="宋体" w:eastAsia="宋体" w:cs="宋体"/>
        </w:rPr>
        <w:t>环境影响报告表》中涉及的</w:t>
      </w:r>
      <w:r>
        <w:rPr>
          <w:rFonts w:hint="eastAsia" w:ascii="宋体" w:hAnsi="宋体" w:cs="宋体"/>
          <w:lang w:val="en-US" w:eastAsia="zh-CN"/>
        </w:rPr>
        <w:t>生产设备及</w:t>
      </w:r>
      <w:r>
        <w:rPr>
          <w:rFonts w:hint="eastAsia" w:ascii="宋体" w:hAnsi="宋体" w:eastAsia="宋体" w:cs="宋体"/>
        </w:rPr>
        <w:t>环保设施，我公司承诺待项目后期正常运行后，对废气及噪声污染源进行补充监测。</w:t>
      </w:r>
    </w:p>
    <w:p>
      <w:pPr>
        <w:ind w:firstLine="480"/>
        <w:rPr>
          <w:rFonts w:hint="eastAsia" w:ascii="宋体" w:hAnsi="宋体" w:eastAsia="宋体" w:cs="宋体"/>
        </w:rPr>
      </w:pPr>
      <w:r>
        <w:rPr>
          <w:rFonts w:hint="eastAsia" w:ascii="宋体" w:hAnsi="宋体" w:eastAsia="宋体" w:cs="宋体"/>
        </w:rPr>
        <w:t>报告编制过程中得到了</w:t>
      </w:r>
      <w:r>
        <w:rPr>
          <w:rFonts w:hint="eastAsia" w:ascii="宋体" w:hAnsi="宋体" w:cs="宋体"/>
          <w:lang w:eastAsia="zh-CN"/>
        </w:rPr>
        <w:t>张家口市行政审批局</w:t>
      </w:r>
      <w:r>
        <w:rPr>
          <w:rFonts w:hint="eastAsia" w:ascii="宋体" w:hAnsi="宋体" w:eastAsia="宋体" w:cs="宋体"/>
        </w:rPr>
        <w:t>、</w:t>
      </w:r>
      <w:r>
        <w:rPr>
          <w:rFonts w:hint="eastAsia" w:ascii="宋体" w:hAnsi="宋体" w:cs="宋体"/>
          <w:lang w:eastAsia="zh-CN"/>
        </w:rPr>
        <w:t>张家口市生态环境局赤城县分局</w:t>
      </w:r>
      <w:r>
        <w:rPr>
          <w:rFonts w:hint="eastAsia" w:ascii="宋体" w:hAnsi="宋体" w:eastAsia="宋体" w:cs="宋体"/>
        </w:rPr>
        <w:t xml:space="preserve">等单位和人员的大力帮助和支持，在此一并致谢！ </w:t>
      </w:r>
    </w:p>
    <w:p>
      <w:pPr>
        <w:spacing w:line="500" w:lineRule="exact"/>
        <w:ind w:firstLine="480"/>
        <w:rPr>
          <w:rFonts w:hint="eastAsia" w:ascii="宋体" w:hAnsi="宋体" w:eastAsia="宋体" w:cs="宋体"/>
          <w:color w:val="000000"/>
          <w:kern w:val="0"/>
          <w:szCs w:val="24"/>
        </w:rPr>
        <w:sectPr>
          <w:pgSz w:w="11906" w:h="16838"/>
          <w:pgMar w:top="1440" w:right="1800" w:bottom="1440" w:left="1800" w:header="851" w:footer="850" w:gutter="0"/>
          <w:pgNumType w:start="1"/>
          <w:cols w:space="425" w:num="1"/>
          <w:docGrid w:type="lines" w:linePitch="312" w:charSpace="0"/>
        </w:sectPr>
      </w:pPr>
    </w:p>
    <w:p>
      <w:pPr>
        <w:pStyle w:val="4"/>
        <w:rPr>
          <w:rFonts w:hint="eastAsia" w:ascii="宋体" w:hAnsi="宋体" w:eastAsia="宋体" w:cs="宋体"/>
        </w:rPr>
      </w:pPr>
      <w:bookmarkStart w:id="3" w:name="_Toc6886"/>
      <w:r>
        <w:rPr>
          <w:rFonts w:hint="eastAsia" w:ascii="宋体" w:hAnsi="宋体" w:eastAsia="宋体" w:cs="宋体"/>
        </w:rPr>
        <w:t>1、验收编制依据</w:t>
      </w:r>
      <w:bookmarkEnd w:id="3"/>
    </w:p>
    <w:p>
      <w:pPr>
        <w:pStyle w:val="5"/>
        <w:rPr>
          <w:rFonts w:hint="eastAsia" w:ascii="宋体" w:hAnsi="宋体" w:eastAsia="宋体" w:cs="宋体"/>
        </w:rPr>
      </w:pPr>
      <w:bookmarkStart w:id="4" w:name="_Toc30083301"/>
      <w:bookmarkStart w:id="5" w:name="_Toc6484"/>
      <w:r>
        <w:rPr>
          <w:rFonts w:hint="eastAsia" w:ascii="宋体" w:hAnsi="宋体" w:eastAsia="宋体" w:cs="宋体"/>
        </w:rPr>
        <w:t>1.1建设项目环境保护相关法律、法规和规章制度</w:t>
      </w:r>
      <w:bookmarkEnd w:id="4"/>
      <w:bookmarkEnd w:id="5"/>
    </w:p>
    <w:p>
      <w:pPr>
        <w:ind w:firstLine="480"/>
        <w:rPr>
          <w:rFonts w:hint="eastAsia" w:ascii="宋体" w:hAnsi="宋体" w:eastAsia="宋体" w:cs="宋体"/>
        </w:rPr>
      </w:pPr>
      <w:r>
        <w:rPr>
          <w:rFonts w:hint="eastAsia" w:ascii="宋体" w:hAnsi="宋体" w:eastAsia="宋体" w:cs="宋体"/>
        </w:rPr>
        <w:t>（1）《中华人民共和国环境保护法》（2015年1月1日起施行）；</w:t>
      </w:r>
    </w:p>
    <w:p>
      <w:pPr>
        <w:ind w:firstLine="480"/>
        <w:rPr>
          <w:rFonts w:hint="eastAsia" w:ascii="宋体" w:hAnsi="宋体" w:eastAsia="宋体" w:cs="宋体"/>
        </w:rPr>
      </w:pPr>
      <w:r>
        <w:rPr>
          <w:rFonts w:hint="eastAsia" w:ascii="宋体" w:hAnsi="宋体" w:eastAsia="宋体" w:cs="宋体"/>
        </w:rPr>
        <w:t>（2）《中华人民共和国环境影响评价法》（2018年12月29日修订施行）；</w:t>
      </w:r>
    </w:p>
    <w:p>
      <w:pPr>
        <w:ind w:firstLine="480"/>
        <w:rPr>
          <w:rFonts w:hint="eastAsia" w:ascii="宋体" w:hAnsi="宋体" w:eastAsia="宋体" w:cs="宋体"/>
        </w:rPr>
      </w:pPr>
      <w:r>
        <w:rPr>
          <w:rFonts w:hint="eastAsia" w:ascii="宋体" w:hAnsi="宋体" w:eastAsia="宋体" w:cs="宋体"/>
        </w:rPr>
        <w:t>（3）《中华人民共和国水污染防治法》（2018年1月1日起实施）；</w:t>
      </w:r>
    </w:p>
    <w:p>
      <w:pPr>
        <w:ind w:firstLine="480"/>
        <w:rPr>
          <w:rFonts w:hint="eastAsia" w:ascii="宋体" w:hAnsi="宋体" w:eastAsia="宋体" w:cs="宋体"/>
        </w:rPr>
      </w:pPr>
      <w:r>
        <w:rPr>
          <w:rFonts w:hint="eastAsia" w:ascii="宋体" w:hAnsi="宋体" w:eastAsia="宋体" w:cs="宋体"/>
        </w:rPr>
        <w:t>（4）《中华人民共和国大气污染防治法》（2018年10月26日修订施行）；</w:t>
      </w:r>
    </w:p>
    <w:p>
      <w:pPr>
        <w:ind w:firstLine="480"/>
        <w:rPr>
          <w:rFonts w:hint="eastAsia" w:ascii="宋体" w:hAnsi="宋体" w:eastAsia="宋体" w:cs="宋体"/>
        </w:rPr>
      </w:pPr>
      <w:r>
        <w:rPr>
          <w:rFonts w:hint="eastAsia" w:ascii="宋体" w:hAnsi="宋体" w:eastAsia="宋体" w:cs="宋体"/>
        </w:rPr>
        <w:t>（5）《中华人民共和国环境噪声污染防治法》（2018年12月29日修订施行）；</w:t>
      </w:r>
    </w:p>
    <w:p>
      <w:pPr>
        <w:ind w:firstLine="480"/>
        <w:rPr>
          <w:rFonts w:hint="eastAsia" w:ascii="宋体" w:hAnsi="宋体" w:eastAsia="宋体" w:cs="宋体"/>
        </w:rPr>
      </w:pPr>
      <w:r>
        <w:rPr>
          <w:rFonts w:hint="eastAsia" w:ascii="宋体" w:hAnsi="宋体" w:eastAsia="宋体" w:cs="宋体"/>
        </w:rPr>
        <w:t>（6）《中华人民共和国固体废物污染环境防治法》（2020年9月1日修改）；</w:t>
      </w:r>
    </w:p>
    <w:p>
      <w:pPr>
        <w:ind w:firstLine="480"/>
        <w:rPr>
          <w:rFonts w:hint="eastAsia" w:ascii="宋体" w:hAnsi="宋体" w:eastAsia="宋体" w:cs="宋体"/>
        </w:rPr>
      </w:pPr>
      <w:r>
        <w:rPr>
          <w:rFonts w:hint="eastAsia" w:ascii="宋体" w:hAnsi="宋体" w:eastAsia="宋体" w:cs="宋体"/>
        </w:rPr>
        <w:t>（7）《建设项目环境保护管理条例》（2017年10月1日起施行）；</w:t>
      </w:r>
    </w:p>
    <w:p>
      <w:pPr>
        <w:ind w:firstLine="480"/>
        <w:rPr>
          <w:rFonts w:hint="eastAsia" w:ascii="宋体" w:hAnsi="宋体" w:eastAsia="宋体" w:cs="宋体"/>
        </w:rPr>
      </w:pPr>
      <w:r>
        <w:rPr>
          <w:rFonts w:hint="eastAsia" w:ascii="宋体" w:hAnsi="宋体" w:eastAsia="宋体" w:cs="宋体"/>
        </w:rPr>
        <w:t>（8）《建设项目环境影响评价分类管理名录》（2021年版）；</w:t>
      </w:r>
    </w:p>
    <w:p>
      <w:pPr>
        <w:ind w:firstLine="480"/>
        <w:rPr>
          <w:rFonts w:hint="eastAsia" w:ascii="宋体" w:hAnsi="宋体" w:eastAsia="宋体" w:cs="宋体"/>
        </w:rPr>
      </w:pPr>
      <w:r>
        <w:rPr>
          <w:rFonts w:hint="eastAsia" w:ascii="宋体" w:hAnsi="宋体" w:eastAsia="宋体" w:cs="宋体"/>
        </w:rPr>
        <w:t>（9）《河北省生态环境保护条例》（2020年7月1日起施行）。</w:t>
      </w:r>
    </w:p>
    <w:p>
      <w:pPr>
        <w:pStyle w:val="5"/>
        <w:rPr>
          <w:rFonts w:hint="eastAsia" w:ascii="宋体" w:hAnsi="宋体" w:eastAsia="宋体" w:cs="宋体"/>
        </w:rPr>
      </w:pPr>
      <w:bookmarkStart w:id="6" w:name="_Toc30083302"/>
      <w:bookmarkStart w:id="7" w:name="_Toc4717"/>
      <w:r>
        <w:rPr>
          <w:rFonts w:hint="eastAsia" w:ascii="宋体" w:hAnsi="宋体" w:eastAsia="宋体" w:cs="宋体"/>
        </w:rPr>
        <w:t>1.2建设项目竣工环境保护验收技术规范</w:t>
      </w:r>
      <w:bookmarkEnd w:id="6"/>
      <w:bookmarkEnd w:id="7"/>
    </w:p>
    <w:p>
      <w:pPr>
        <w:ind w:firstLine="480"/>
        <w:rPr>
          <w:rFonts w:hint="eastAsia" w:ascii="宋体" w:hAnsi="宋体" w:eastAsia="宋体" w:cs="宋体"/>
        </w:rPr>
      </w:pPr>
      <w:r>
        <w:rPr>
          <w:rFonts w:hint="eastAsia" w:ascii="宋体" w:hAnsi="宋体" w:eastAsia="宋体" w:cs="宋体"/>
        </w:rPr>
        <w:t>（1）《建设项目环境影响评价技术导则 总纲》（HJ 2.1-2016）；</w:t>
      </w:r>
    </w:p>
    <w:p>
      <w:pPr>
        <w:ind w:firstLine="480"/>
        <w:rPr>
          <w:rFonts w:hint="eastAsia" w:ascii="宋体" w:hAnsi="宋体" w:eastAsia="宋体" w:cs="宋体"/>
        </w:rPr>
      </w:pPr>
      <w:r>
        <w:rPr>
          <w:rFonts w:hint="eastAsia" w:ascii="宋体" w:hAnsi="宋体" w:eastAsia="宋体" w:cs="宋体"/>
        </w:rPr>
        <w:t>（2）《环境影响评价技术导则  大气环境》（HJ 2.2-2018）；</w:t>
      </w:r>
    </w:p>
    <w:p>
      <w:pPr>
        <w:ind w:firstLine="480"/>
        <w:rPr>
          <w:rFonts w:hint="eastAsia" w:ascii="宋体" w:hAnsi="宋体" w:eastAsia="宋体" w:cs="宋体"/>
        </w:rPr>
      </w:pPr>
      <w:r>
        <w:rPr>
          <w:rFonts w:hint="eastAsia" w:ascii="宋体" w:hAnsi="宋体" w:eastAsia="宋体" w:cs="宋体"/>
        </w:rPr>
        <w:t>（3）《环境影响评价技术导则  地表水环境》（HJ 2.3-2018）；</w:t>
      </w:r>
    </w:p>
    <w:p>
      <w:pPr>
        <w:ind w:firstLine="480"/>
        <w:rPr>
          <w:rFonts w:hint="eastAsia" w:ascii="宋体" w:hAnsi="宋体" w:eastAsia="宋体" w:cs="宋体"/>
        </w:rPr>
      </w:pPr>
      <w:r>
        <w:rPr>
          <w:rFonts w:hint="eastAsia" w:ascii="宋体" w:hAnsi="宋体" w:eastAsia="宋体" w:cs="宋体"/>
        </w:rPr>
        <w:t>（4）《环境影响评价技术导则  地下水环境》（HJ 610-2016）；</w:t>
      </w:r>
    </w:p>
    <w:p>
      <w:pPr>
        <w:ind w:firstLine="480"/>
        <w:rPr>
          <w:rFonts w:hint="eastAsia" w:ascii="宋体" w:hAnsi="宋体" w:eastAsia="宋体" w:cs="宋体"/>
        </w:rPr>
      </w:pPr>
      <w:r>
        <w:rPr>
          <w:rFonts w:hint="eastAsia" w:ascii="宋体" w:hAnsi="宋体" w:eastAsia="宋体" w:cs="宋体"/>
        </w:rPr>
        <w:t>（5）《环境影响评价技术导则  声环境》（HJ 2.4-2021）；</w:t>
      </w:r>
    </w:p>
    <w:p>
      <w:pPr>
        <w:ind w:firstLine="480"/>
        <w:rPr>
          <w:rFonts w:hint="eastAsia" w:ascii="宋体" w:hAnsi="宋体" w:eastAsia="宋体" w:cs="宋体"/>
        </w:rPr>
      </w:pPr>
      <w:r>
        <w:rPr>
          <w:rFonts w:hint="eastAsia" w:ascii="宋体" w:hAnsi="宋体" w:eastAsia="宋体" w:cs="宋体"/>
        </w:rPr>
        <w:t>（6）《环境空气质量标准》（GB3095-2012）；</w:t>
      </w:r>
    </w:p>
    <w:p>
      <w:pPr>
        <w:ind w:firstLine="480"/>
        <w:rPr>
          <w:rFonts w:hint="eastAsia" w:ascii="宋体" w:hAnsi="宋体" w:eastAsia="宋体" w:cs="宋体"/>
        </w:rPr>
      </w:pPr>
      <w:r>
        <w:rPr>
          <w:rFonts w:hint="eastAsia" w:ascii="宋体" w:hAnsi="宋体" w:eastAsia="宋体" w:cs="宋体"/>
        </w:rPr>
        <w:t>（7）《声环境质量标准》（GB3096-2008）；</w:t>
      </w:r>
    </w:p>
    <w:p>
      <w:pPr>
        <w:ind w:firstLine="480"/>
        <w:rPr>
          <w:rFonts w:hint="eastAsia" w:ascii="宋体" w:hAnsi="宋体" w:eastAsia="宋体" w:cs="宋体"/>
        </w:rPr>
      </w:pPr>
      <w:r>
        <w:rPr>
          <w:rFonts w:hint="eastAsia" w:ascii="宋体" w:hAnsi="宋体" w:eastAsia="宋体" w:cs="宋体"/>
        </w:rPr>
        <w:t>（8）《地下水质量标准》（GB/14848-2017）；</w:t>
      </w:r>
    </w:p>
    <w:p>
      <w:pPr>
        <w:ind w:firstLine="480"/>
        <w:rPr>
          <w:rFonts w:hint="eastAsia" w:ascii="宋体" w:hAnsi="宋体" w:eastAsia="宋体" w:cs="宋体"/>
        </w:rPr>
      </w:pPr>
      <w:r>
        <w:rPr>
          <w:rFonts w:hint="eastAsia" w:ascii="宋体" w:hAnsi="宋体" w:eastAsia="宋体" w:cs="宋体"/>
        </w:rPr>
        <w:t>（9）《地表水环境质量标准》（GB3838-2002）；</w:t>
      </w:r>
    </w:p>
    <w:p>
      <w:pPr>
        <w:ind w:firstLine="480"/>
        <w:rPr>
          <w:rFonts w:hint="eastAsia" w:ascii="宋体" w:hAnsi="宋体" w:eastAsia="宋体" w:cs="宋体"/>
        </w:rPr>
      </w:pPr>
      <w:r>
        <w:rPr>
          <w:rFonts w:hint="eastAsia" w:ascii="宋体" w:hAnsi="宋体" w:eastAsia="宋体" w:cs="宋体"/>
        </w:rPr>
        <w:t>（10）《水泥工业大气污染物超低排放标准》（DB13/2167-2020）；</w:t>
      </w:r>
    </w:p>
    <w:p>
      <w:pPr>
        <w:ind w:firstLine="480"/>
        <w:rPr>
          <w:rFonts w:hint="eastAsia" w:ascii="宋体" w:hAnsi="宋体" w:eastAsia="宋体" w:cs="宋体"/>
        </w:rPr>
      </w:pPr>
      <w:r>
        <w:rPr>
          <w:rFonts w:hint="eastAsia" w:ascii="宋体" w:hAnsi="宋体" w:eastAsia="宋体" w:cs="宋体"/>
        </w:rPr>
        <w:t>（11）《工业企业厂界环境噪声排放标准》（GB12348-2008）；</w:t>
      </w:r>
    </w:p>
    <w:p>
      <w:pPr>
        <w:ind w:firstLine="480"/>
        <w:rPr>
          <w:rFonts w:hint="eastAsia" w:ascii="宋体" w:hAnsi="宋体" w:eastAsia="宋体" w:cs="宋体"/>
        </w:rPr>
      </w:pPr>
      <w:r>
        <w:rPr>
          <w:rFonts w:hint="eastAsia" w:ascii="宋体" w:hAnsi="宋体" w:eastAsia="宋体" w:cs="宋体"/>
        </w:rPr>
        <w:t>（12）《一般工业固体废物贮存和填埋污染控制标准》（GB18599-2020）；</w:t>
      </w:r>
    </w:p>
    <w:p>
      <w:pPr>
        <w:ind w:firstLine="480"/>
        <w:rPr>
          <w:rFonts w:hint="eastAsia" w:ascii="宋体" w:hAnsi="宋体" w:eastAsia="宋体" w:cs="宋体"/>
        </w:rPr>
      </w:pPr>
      <w:r>
        <w:rPr>
          <w:rFonts w:hint="eastAsia" w:ascii="宋体" w:hAnsi="宋体" w:eastAsia="宋体" w:cs="宋体"/>
        </w:rPr>
        <w:t>（13）《关于规范建设单位自主开展建设项目竣工环境保护验收的通知（征求意见稿）》（环境保护部）；</w:t>
      </w:r>
    </w:p>
    <w:p>
      <w:pPr>
        <w:ind w:firstLine="480"/>
        <w:rPr>
          <w:rFonts w:hint="eastAsia" w:ascii="宋体" w:hAnsi="宋体" w:eastAsia="宋体" w:cs="宋体"/>
        </w:rPr>
      </w:pPr>
      <w:r>
        <w:rPr>
          <w:rFonts w:hint="eastAsia" w:ascii="宋体" w:hAnsi="宋体" w:eastAsia="宋体" w:cs="宋体"/>
        </w:rPr>
        <w:t>（14）《建设项目竣工环境保护验收技术指南 污染影响类》（生态环境部2018.5.16发布）；</w:t>
      </w:r>
    </w:p>
    <w:p>
      <w:pPr>
        <w:ind w:firstLine="480"/>
        <w:rPr>
          <w:rFonts w:hint="eastAsia" w:ascii="宋体" w:hAnsi="宋体" w:eastAsia="宋体" w:cs="宋体"/>
        </w:rPr>
      </w:pPr>
      <w:r>
        <w:rPr>
          <w:rFonts w:hint="eastAsia" w:ascii="宋体" w:hAnsi="宋体" w:eastAsia="宋体" w:cs="宋体"/>
        </w:rPr>
        <w:t>（15）《建设项目竣工环境保护验收暂行办法》；国环规环评﹝2017﹞4号；</w:t>
      </w:r>
    </w:p>
    <w:p>
      <w:pPr>
        <w:ind w:firstLine="480"/>
        <w:rPr>
          <w:rFonts w:hint="eastAsia" w:ascii="宋体" w:hAnsi="宋体" w:eastAsia="宋体" w:cs="宋体"/>
        </w:rPr>
      </w:pPr>
      <w:r>
        <w:rPr>
          <w:rFonts w:hint="eastAsia" w:ascii="宋体" w:hAnsi="宋体" w:eastAsia="宋体" w:cs="宋体"/>
        </w:rPr>
        <w:t>（16）《建设项目环境影响评价文件审批及建设单位自主开展环境保护设施验收工作指引（试行）》；冀环办字函〔2017〕727号。</w:t>
      </w:r>
    </w:p>
    <w:p>
      <w:pPr>
        <w:pStyle w:val="5"/>
        <w:rPr>
          <w:rFonts w:hint="eastAsia" w:ascii="宋体" w:hAnsi="宋体" w:eastAsia="宋体" w:cs="宋体"/>
        </w:rPr>
      </w:pPr>
      <w:bookmarkStart w:id="8" w:name="_Toc30083303"/>
      <w:bookmarkStart w:id="9" w:name="_Toc32361"/>
      <w:r>
        <w:rPr>
          <w:rFonts w:hint="eastAsia" w:ascii="宋体" w:hAnsi="宋体" w:eastAsia="宋体" w:cs="宋体"/>
        </w:rPr>
        <w:t>1.3</w:t>
      </w:r>
      <w:bookmarkEnd w:id="8"/>
      <w:r>
        <w:rPr>
          <w:rFonts w:hint="eastAsia" w:ascii="宋体" w:hAnsi="宋体" w:eastAsia="宋体" w:cs="宋体"/>
        </w:rPr>
        <w:t>工程技术文件及批复文件</w:t>
      </w:r>
      <w:bookmarkEnd w:id="9"/>
    </w:p>
    <w:p>
      <w:pPr>
        <w:ind w:firstLine="480"/>
        <w:rPr>
          <w:rFonts w:hint="eastAsia" w:ascii="宋体" w:hAnsi="宋体" w:eastAsia="宋体" w:cs="宋体"/>
        </w:rPr>
      </w:pPr>
      <w:r>
        <w:rPr>
          <w:rFonts w:hint="eastAsia" w:ascii="宋体" w:hAnsi="宋体" w:eastAsia="宋体" w:cs="宋体"/>
        </w:rPr>
        <w:t>（1）</w:t>
      </w:r>
      <w:r>
        <w:rPr>
          <w:rFonts w:hint="eastAsia" w:ascii="宋体" w:hAnsi="宋体" w:eastAsia="宋体" w:cs="宋体"/>
          <w:lang w:eastAsia="zh-CN"/>
        </w:rPr>
        <w:t>张家口昊峰环保科技有限公司</w:t>
      </w:r>
      <w:r>
        <w:rPr>
          <w:rFonts w:hint="eastAsia" w:ascii="宋体" w:hAnsi="宋体" w:eastAsia="宋体" w:cs="宋体"/>
        </w:rPr>
        <w:t>编制的《</w:t>
      </w:r>
      <w:r>
        <w:rPr>
          <w:rFonts w:hint="eastAsia" w:ascii="宋体" w:hAnsi="宋体" w:cs="宋体"/>
          <w:lang w:eastAsia="zh-CN"/>
        </w:rPr>
        <w:t>河北友联建筑材料股份有限公司环保设施改造提升项目</w:t>
      </w:r>
      <w:r>
        <w:rPr>
          <w:rFonts w:hint="eastAsia" w:ascii="宋体" w:hAnsi="宋体" w:eastAsia="宋体" w:cs="宋体"/>
        </w:rPr>
        <w:t>环境影响报告表》（2023.1</w:t>
      </w:r>
      <w:r>
        <w:rPr>
          <w:rFonts w:hint="eastAsia" w:ascii="宋体" w:hAnsi="宋体" w:cs="宋体"/>
          <w:lang w:val="en-US" w:eastAsia="zh-CN"/>
        </w:rPr>
        <w:t>2</w:t>
      </w:r>
      <w:r>
        <w:rPr>
          <w:rFonts w:hint="eastAsia" w:ascii="宋体" w:hAnsi="宋体" w:eastAsia="宋体" w:cs="宋体"/>
        </w:rPr>
        <w:t>）；</w:t>
      </w:r>
    </w:p>
    <w:p>
      <w:pPr>
        <w:ind w:firstLine="480"/>
        <w:rPr>
          <w:rFonts w:hint="eastAsia" w:ascii="宋体" w:hAnsi="宋体" w:eastAsia="宋体" w:cs="宋体"/>
        </w:rPr>
      </w:pPr>
      <w:r>
        <w:rPr>
          <w:rFonts w:hint="eastAsia" w:ascii="宋体" w:hAnsi="宋体" w:eastAsia="宋体" w:cs="宋体"/>
        </w:rPr>
        <w:t>（2）</w:t>
      </w:r>
      <w:r>
        <w:rPr>
          <w:rFonts w:hint="eastAsia" w:ascii="宋体" w:hAnsi="宋体" w:cs="宋体"/>
          <w:lang w:eastAsia="zh-CN"/>
        </w:rPr>
        <w:t>张家口市行政审批局</w:t>
      </w:r>
      <w:r>
        <w:rPr>
          <w:rFonts w:hint="eastAsia" w:ascii="宋体" w:hAnsi="宋体" w:eastAsia="宋体" w:cs="宋体"/>
        </w:rPr>
        <w:t>关于《</w:t>
      </w:r>
      <w:r>
        <w:rPr>
          <w:rFonts w:hint="eastAsia" w:ascii="宋体" w:hAnsi="宋体" w:cs="宋体"/>
          <w:lang w:eastAsia="zh-CN"/>
        </w:rPr>
        <w:t>河北友联建筑材料股份有限公司环保设施改造提升项目</w:t>
      </w:r>
      <w:r>
        <w:rPr>
          <w:rFonts w:hint="eastAsia" w:ascii="宋体" w:hAnsi="宋体" w:eastAsia="宋体" w:cs="宋体"/>
        </w:rPr>
        <w:t>环境影响报告表》的审批意见：</w:t>
      </w:r>
      <w:r>
        <w:rPr>
          <w:rFonts w:hint="eastAsia" w:ascii="宋体" w:hAnsi="宋体" w:cs="宋体"/>
          <w:lang w:eastAsia="zh-CN"/>
        </w:rPr>
        <w:t>张行审立字【2024】71号</w:t>
      </w:r>
      <w:r>
        <w:rPr>
          <w:rFonts w:hint="eastAsia" w:ascii="宋体" w:hAnsi="宋体" w:eastAsia="宋体" w:cs="宋体"/>
        </w:rPr>
        <w:t>。</w:t>
      </w:r>
    </w:p>
    <w:p>
      <w:pPr>
        <w:ind w:firstLine="480"/>
        <w:rPr>
          <w:rFonts w:hint="eastAsia" w:ascii="宋体" w:hAnsi="宋体" w:eastAsia="宋体" w:cs="宋体"/>
        </w:rPr>
      </w:pPr>
      <w:r>
        <w:rPr>
          <w:rFonts w:hint="eastAsia" w:ascii="宋体" w:hAnsi="宋体" w:eastAsia="宋体" w:cs="宋体"/>
        </w:rPr>
        <w:t>（3）</w:t>
      </w:r>
      <w:r>
        <w:rPr>
          <w:rFonts w:hint="eastAsia" w:ascii="宋体" w:hAnsi="宋体" w:cs="宋体"/>
          <w:lang w:eastAsia="zh-CN"/>
        </w:rPr>
        <w:t>河北友联建筑材料股份有限公司</w:t>
      </w:r>
      <w:r>
        <w:rPr>
          <w:rFonts w:hint="eastAsia" w:ascii="宋体" w:hAnsi="宋体" w:eastAsia="宋体" w:cs="宋体"/>
        </w:rPr>
        <w:t>提供的其他相关资料。</w:t>
      </w:r>
    </w:p>
    <w:p>
      <w:pPr>
        <w:spacing w:line="500" w:lineRule="exact"/>
        <w:ind w:firstLine="400"/>
        <w:rPr>
          <w:rFonts w:hint="eastAsia" w:ascii="宋体" w:hAnsi="宋体" w:eastAsia="宋体" w:cs="宋体"/>
          <w:color w:val="000000"/>
          <w:kern w:val="0"/>
          <w:sz w:val="20"/>
          <w:szCs w:val="24"/>
        </w:rPr>
        <w:sectPr>
          <w:pgSz w:w="11906" w:h="16838"/>
          <w:pgMar w:top="1440" w:right="1800" w:bottom="1440" w:left="1800" w:header="851" w:footer="567" w:gutter="0"/>
          <w:cols w:space="425" w:num="1"/>
          <w:docGrid w:type="lines" w:linePitch="312" w:charSpace="0"/>
        </w:sectPr>
      </w:pPr>
    </w:p>
    <w:p>
      <w:pPr>
        <w:pStyle w:val="4"/>
        <w:rPr>
          <w:rFonts w:hint="eastAsia" w:ascii="宋体" w:hAnsi="宋体" w:eastAsia="宋体" w:cs="宋体"/>
        </w:rPr>
      </w:pPr>
      <w:bookmarkStart w:id="10" w:name="_Toc30083305"/>
      <w:bookmarkStart w:id="11" w:name="_Toc22346"/>
      <w:r>
        <w:rPr>
          <w:rFonts w:hint="eastAsia" w:ascii="宋体" w:hAnsi="宋体" w:eastAsia="宋体" w:cs="宋体"/>
        </w:rPr>
        <w:t>2、</w:t>
      </w:r>
      <w:bookmarkEnd w:id="10"/>
      <w:r>
        <w:rPr>
          <w:rFonts w:hint="eastAsia" w:ascii="宋体" w:hAnsi="宋体" w:eastAsia="宋体" w:cs="宋体"/>
        </w:rPr>
        <w:t>工程概况</w:t>
      </w:r>
      <w:bookmarkEnd w:id="11"/>
    </w:p>
    <w:p>
      <w:pPr>
        <w:pStyle w:val="5"/>
        <w:rPr>
          <w:rFonts w:hint="eastAsia" w:ascii="宋体" w:hAnsi="宋体" w:eastAsia="宋体" w:cs="宋体"/>
        </w:rPr>
      </w:pPr>
      <w:bookmarkStart w:id="12" w:name="_Toc19993"/>
      <w:bookmarkStart w:id="13" w:name="_Toc30083306"/>
      <w:r>
        <w:rPr>
          <w:rFonts w:hint="eastAsia" w:ascii="宋体" w:hAnsi="宋体" w:eastAsia="宋体" w:cs="宋体"/>
        </w:rPr>
        <w:t>2.1项目基本情况</w:t>
      </w:r>
      <w:bookmarkEnd w:id="12"/>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4"/>
        <w:gridCol w:w="2185"/>
        <w:gridCol w:w="1309"/>
        <w:gridCol w:w="1093"/>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项目名称</w:t>
            </w:r>
          </w:p>
        </w:tc>
        <w:tc>
          <w:tcPr>
            <w:tcW w:w="3636" w:type="pct"/>
            <w:gridSpan w:val="4"/>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lang w:eastAsia="zh-CN"/>
              </w:rPr>
            </w:pPr>
            <w:r>
              <w:rPr>
                <w:rFonts w:hint="eastAsia" w:ascii="宋体" w:hAnsi="宋体" w:cs="宋体"/>
                <w:color w:val="000000"/>
                <w:kern w:val="0"/>
                <w:lang w:eastAsia="zh-CN"/>
              </w:rPr>
              <w:t>河北友联建筑材料股份有限公司环保设施改造提升项目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项目性质</w:t>
            </w:r>
          </w:p>
        </w:tc>
        <w:tc>
          <w:tcPr>
            <w:tcW w:w="3636" w:type="pct"/>
            <w:gridSpan w:val="4"/>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rPr>
              <w:t>新建□改扩建□技改√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建设单位</w:t>
            </w:r>
          </w:p>
        </w:tc>
        <w:tc>
          <w:tcPr>
            <w:tcW w:w="3636" w:type="pct"/>
            <w:gridSpan w:val="4"/>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lang w:eastAsia="zh-CN"/>
              </w:rPr>
            </w:pPr>
            <w:r>
              <w:rPr>
                <w:rFonts w:hint="eastAsia" w:ascii="宋体" w:hAnsi="宋体" w:cs="宋体"/>
                <w:color w:val="000000"/>
                <w:kern w:val="0"/>
                <w:lang w:eastAsia="zh-CN"/>
              </w:rPr>
              <w:t>河北友联建筑材料股份有限公司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建设地点</w:t>
            </w:r>
          </w:p>
        </w:tc>
        <w:tc>
          <w:tcPr>
            <w:tcW w:w="3636" w:type="pct"/>
            <w:gridSpan w:val="4"/>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cs="宋体"/>
                <w:color w:val="000000"/>
                <w:kern w:val="0"/>
                <w:lang w:eastAsia="zh-CN"/>
              </w:rPr>
              <w:t>赤城县赤城镇孙家庄村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法人代表</w:t>
            </w:r>
          </w:p>
        </w:tc>
        <w:tc>
          <w:tcPr>
            <w:tcW w:w="1282" w:type="pct"/>
            <w:tcBorders>
              <w:tl2br w:val="nil"/>
              <w:tr2bl w:val="nil"/>
            </w:tcBorders>
            <w:vAlign w:val="center"/>
          </w:tcPr>
          <w:p>
            <w:pPr>
              <w:adjustRightInd w:val="0"/>
              <w:snapToGrid w:val="0"/>
              <w:ind w:firstLine="0" w:firstLineChars="0"/>
              <w:jc w:val="center"/>
              <w:rPr>
                <w:rFonts w:hint="eastAsia" w:ascii="宋体" w:hAnsi="宋体" w:eastAsia="宋体" w:cs="宋体"/>
                <w:kern w:val="0"/>
                <w:lang w:eastAsia="zh-CN"/>
              </w:rPr>
            </w:pPr>
            <w:r>
              <w:rPr>
                <w:rFonts w:hint="eastAsia" w:ascii="宋体" w:hAnsi="宋体" w:cs="宋体"/>
                <w:kern w:val="0"/>
                <w:lang w:val="en-US" w:eastAsia="zh-CN"/>
              </w:rPr>
              <w:t>张海静</w:t>
            </w:r>
          </w:p>
        </w:tc>
        <w:tc>
          <w:tcPr>
            <w:tcW w:w="768" w:type="pct"/>
            <w:tcBorders>
              <w:tl2br w:val="nil"/>
              <w:tr2bl w:val="nil"/>
            </w:tcBorders>
            <w:vAlign w:val="center"/>
          </w:tcPr>
          <w:p>
            <w:pPr>
              <w:adjustRightInd w:val="0"/>
              <w:snapToGrid w:val="0"/>
              <w:ind w:firstLine="0" w:firstLineChars="0"/>
              <w:jc w:val="center"/>
              <w:rPr>
                <w:rFonts w:hint="eastAsia" w:ascii="宋体" w:hAnsi="宋体" w:eastAsia="宋体" w:cs="宋体"/>
                <w:kern w:val="0"/>
              </w:rPr>
            </w:pPr>
            <w:r>
              <w:rPr>
                <w:rFonts w:hint="eastAsia" w:ascii="宋体" w:hAnsi="宋体" w:eastAsia="宋体" w:cs="宋体"/>
                <w:kern w:val="0"/>
              </w:rPr>
              <w:t>联系人</w:t>
            </w:r>
          </w:p>
        </w:tc>
        <w:tc>
          <w:tcPr>
            <w:tcW w:w="641" w:type="pct"/>
            <w:tcBorders>
              <w:tl2br w:val="nil"/>
              <w:tr2bl w:val="nil"/>
            </w:tcBorders>
            <w:vAlign w:val="center"/>
          </w:tcPr>
          <w:p>
            <w:pPr>
              <w:adjustRightInd w:val="0"/>
              <w:snapToGrid w:val="0"/>
              <w:ind w:firstLine="0" w:firstLineChars="0"/>
              <w:jc w:val="center"/>
              <w:rPr>
                <w:rFonts w:hint="eastAsia" w:ascii="宋体" w:hAnsi="宋体" w:eastAsia="宋体" w:cs="宋体"/>
                <w:kern w:val="0"/>
                <w:lang w:eastAsia="zh-CN"/>
              </w:rPr>
            </w:pPr>
            <w:r>
              <w:rPr>
                <w:rFonts w:hint="eastAsia" w:ascii="宋体" w:hAnsi="宋体" w:cs="宋体"/>
                <w:kern w:val="0"/>
                <w:lang w:eastAsia="zh-CN"/>
              </w:rPr>
              <w:t>田占军</w:t>
            </w:r>
          </w:p>
        </w:tc>
        <w:tc>
          <w:tcPr>
            <w:tcW w:w="945" w:type="pct"/>
            <w:tcBorders>
              <w:tl2br w:val="nil"/>
              <w:tr2bl w:val="nil"/>
            </w:tcBorders>
            <w:vAlign w:val="center"/>
          </w:tcPr>
          <w:p>
            <w:pPr>
              <w:adjustRightInd w:val="0"/>
              <w:snapToGrid w:val="0"/>
              <w:ind w:firstLine="0" w:firstLineChars="0"/>
              <w:jc w:val="center"/>
              <w:rPr>
                <w:rFonts w:hint="eastAsia" w:ascii="宋体" w:hAnsi="宋体" w:eastAsia="宋体" w:cs="宋体"/>
                <w:kern w:val="0"/>
                <w:lang w:eastAsia="zh-CN"/>
              </w:rPr>
            </w:pPr>
            <w:r>
              <w:rPr>
                <w:rFonts w:hint="eastAsia" w:ascii="宋体" w:hAnsi="宋体" w:cs="宋体"/>
                <w:kern w:val="0"/>
                <w:lang w:eastAsia="zh-CN"/>
              </w:rPr>
              <w:t>18931319556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建设规模</w:t>
            </w:r>
          </w:p>
        </w:tc>
        <w:tc>
          <w:tcPr>
            <w:tcW w:w="3636" w:type="pct"/>
            <w:gridSpan w:val="4"/>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cs="宋体"/>
                <w:color w:val="000000"/>
                <w:kern w:val="0"/>
                <w:szCs w:val="24"/>
                <w:lang w:val="en-US" w:eastAsia="zh-CN"/>
              </w:rPr>
              <w:t>年产商品混凝土6万立方米，年产预拌干粉砂浆35万吨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环评时间</w:t>
            </w:r>
          </w:p>
        </w:tc>
        <w:tc>
          <w:tcPr>
            <w:tcW w:w="1282"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202</w:t>
            </w:r>
            <w:r>
              <w:rPr>
                <w:rFonts w:hint="eastAsia" w:ascii="宋体" w:hAnsi="宋体" w:cs="宋体"/>
                <w:color w:val="000000"/>
                <w:kern w:val="0"/>
                <w:szCs w:val="24"/>
                <w:lang w:val="en-US" w:eastAsia="zh-CN"/>
              </w:rPr>
              <w:t>4</w:t>
            </w:r>
            <w:r>
              <w:rPr>
                <w:rFonts w:hint="eastAsia" w:ascii="宋体" w:hAnsi="宋体" w:eastAsia="宋体" w:cs="宋体"/>
                <w:color w:val="000000"/>
                <w:kern w:val="0"/>
                <w:szCs w:val="24"/>
              </w:rPr>
              <w:t>年</w:t>
            </w:r>
            <w:r>
              <w:rPr>
                <w:rFonts w:hint="eastAsia" w:ascii="宋体" w:hAnsi="宋体" w:cs="宋体"/>
                <w:color w:val="000000"/>
                <w:kern w:val="0"/>
                <w:szCs w:val="24"/>
                <w:lang w:val="en-US" w:eastAsia="zh-CN"/>
              </w:rPr>
              <w:t>01</w:t>
            </w:r>
            <w:r>
              <w:rPr>
                <w:rFonts w:hint="eastAsia" w:ascii="宋体" w:hAnsi="宋体" w:eastAsia="宋体" w:cs="宋体"/>
                <w:color w:val="000000"/>
                <w:kern w:val="0"/>
                <w:szCs w:val="24"/>
              </w:rPr>
              <w:t>月</w:t>
            </w:r>
          </w:p>
        </w:tc>
        <w:tc>
          <w:tcPr>
            <w:tcW w:w="768"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开工日期</w:t>
            </w:r>
          </w:p>
        </w:tc>
        <w:tc>
          <w:tcPr>
            <w:tcW w:w="1586" w:type="pct"/>
            <w:gridSpan w:val="2"/>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lang w:val="en-US" w:eastAsia="zh-CN"/>
              </w:rPr>
              <w:t>202</w:t>
            </w:r>
            <w:r>
              <w:rPr>
                <w:rFonts w:hint="eastAsia" w:ascii="宋体" w:hAnsi="宋体" w:cs="宋体"/>
                <w:lang w:val="en-US" w:eastAsia="zh-CN"/>
              </w:rPr>
              <w:t>4</w:t>
            </w:r>
            <w:r>
              <w:rPr>
                <w:rFonts w:hint="eastAsia" w:ascii="宋体" w:hAnsi="宋体" w:eastAsia="宋体" w:cs="宋体"/>
                <w:lang w:val="en-US" w:eastAsia="zh-CN"/>
              </w:rPr>
              <w:t>年</w:t>
            </w:r>
            <w:r>
              <w:rPr>
                <w:rFonts w:hint="eastAsia" w:ascii="宋体" w:hAnsi="宋体" w:cs="宋体"/>
                <w:lang w:val="en-US" w:eastAsia="zh-CN"/>
              </w:rPr>
              <w:t>01</w:t>
            </w:r>
            <w:r>
              <w:rPr>
                <w:rFonts w:hint="eastAsia" w:ascii="宋体" w:hAnsi="宋体" w:eastAsia="宋体" w:cs="宋体"/>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竣工时间</w:t>
            </w:r>
          </w:p>
        </w:tc>
        <w:tc>
          <w:tcPr>
            <w:tcW w:w="1282"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202</w:t>
            </w:r>
            <w:r>
              <w:rPr>
                <w:rFonts w:hint="eastAsia" w:ascii="宋体" w:hAnsi="宋体" w:cs="宋体"/>
                <w:color w:val="000000"/>
                <w:kern w:val="0"/>
                <w:szCs w:val="24"/>
                <w:lang w:val="en-US" w:eastAsia="zh-CN"/>
              </w:rPr>
              <w:t>4</w:t>
            </w:r>
            <w:r>
              <w:rPr>
                <w:rFonts w:hint="eastAsia" w:ascii="宋体" w:hAnsi="宋体" w:eastAsia="宋体" w:cs="宋体"/>
                <w:color w:val="000000"/>
                <w:kern w:val="0"/>
                <w:szCs w:val="24"/>
              </w:rPr>
              <w:t>年</w:t>
            </w:r>
            <w:r>
              <w:rPr>
                <w:rFonts w:hint="eastAsia" w:ascii="宋体" w:hAnsi="宋体" w:cs="宋体"/>
                <w:color w:val="000000"/>
                <w:kern w:val="0"/>
                <w:szCs w:val="24"/>
                <w:lang w:val="en-US" w:eastAsia="zh-CN"/>
              </w:rPr>
              <w:t>01</w:t>
            </w:r>
            <w:r>
              <w:rPr>
                <w:rFonts w:hint="eastAsia" w:ascii="宋体" w:hAnsi="宋体" w:eastAsia="宋体" w:cs="宋体"/>
                <w:color w:val="000000"/>
                <w:kern w:val="0"/>
                <w:szCs w:val="24"/>
              </w:rPr>
              <w:t>月</w:t>
            </w:r>
          </w:p>
        </w:tc>
        <w:tc>
          <w:tcPr>
            <w:tcW w:w="768"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现场监测时间</w:t>
            </w:r>
          </w:p>
        </w:tc>
        <w:tc>
          <w:tcPr>
            <w:tcW w:w="1586" w:type="pct"/>
            <w:gridSpan w:val="2"/>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环评报告</w:t>
            </w:r>
          </w:p>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审批部门</w:t>
            </w:r>
          </w:p>
        </w:tc>
        <w:tc>
          <w:tcPr>
            <w:tcW w:w="1282"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lang w:eastAsia="zh-CN"/>
              </w:rPr>
            </w:pPr>
            <w:r>
              <w:rPr>
                <w:rFonts w:hint="eastAsia" w:ascii="宋体" w:hAnsi="宋体" w:cs="宋体"/>
                <w:color w:val="000000"/>
                <w:kern w:val="0"/>
                <w:szCs w:val="24"/>
                <w:lang w:eastAsia="zh-CN"/>
              </w:rPr>
              <w:t>张家口市行政审批局</w:t>
            </w:r>
          </w:p>
        </w:tc>
        <w:tc>
          <w:tcPr>
            <w:tcW w:w="768"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环评报告</w:t>
            </w:r>
          </w:p>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编制单位</w:t>
            </w:r>
          </w:p>
        </w:tc>
        <w:tc>
          <w:tcPr>
            <w:tcW w:w="1586" w:type="pct"/>
            <w:gridSpan w:val="2"/>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lang w:eastAsia="zh-CN"/>
              </w:rPr>
            </w:pPr>
            <w:r>
              <w:rPr>
                <w:rFonts w:hint="eastAsia" w:ascii="宋体" w:hAnsi="宋体" w:eastAsia="宋体" w:cs="宋体"/>
                <w:color w:val="000000"/>
                <w:kern w:val="0"/>
                <w:szCs w:val="24"/>
                <w:lang w:eastAsia="zh-CN"/>
              </w:rPr>
              <w:t>张家口昊峰环保科技有限公司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环评形式</w:t>
            </w:r>
          </w:p>
        </w:tc>
        <w:tc>
          <w:tcPr>
            <w:tcW w:w="1282"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报告表</w:t>
            </w:r>
          </w:p>
        </w:tc>
        <w:tc>
          <w:tcPr>
            <w:tcW w:w="768"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环评批文号</w:t>
            </w:r>
          </w:p>
        </w:tc>
        <w:tc>
          <w:tcPr>
            <w:tcW w:w="1586" w:type="pct"/>
            <w:gridSpan w:val="2"/>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lang w:eastAsia="zh-CN"/>
              </w:rPr>
            </w:pPr>
            <w:r>
              <w:rPr>
                <w:rFonts w:hint="eastAsia" w:ascii="宋体" w:hAnsi="宋体" w:cs="宋体"/>
                <w:color w:val="000000"/>
                <w:kern w:val="0"/>
                <w:lang w:eastAsia="zh-CN"/>
              </w:rPr>
              <w:t>张行审立字【2024】71号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环保设施设计单位</w:t>
            </w:r>
          </w:p>
        </w:tc>
        <w:tc>
          <w:tcPr>
            <w:tcW w:w="3636" w:type="pct"/>
            <w:gridSpan w:val="4"/>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第三建筑工程公司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环保设施施工单位</w:t>
            </w:r>
          </w:p>
        </w:tc>
        <w:tc>
          <w:tcPr>
            <w:tcW w:w="3636" w:type="pct"/>
            <w:gridSpan w:val="4"/>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第三建筑工程公司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总投资概算</w:t>
            </w:r>
          </w:p>
        </w:tc>
        <w:tc>
          <w:tcPr>
            <w:tcW w:w="1282"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cs="宋体"/>
                <w:color w:val="000000"/>
                <w:kern w:val="0"/>
                <w:szCs w:val="24"/>
                <w:lang w:val="en-US" w:eastAsia="zh-CN"/>
              </w:rPr>
              <w:t>100万元</w:t>
            </w:r>
          </w:p>
        </w:tc>
        <w:tc>
          <w:tcPr>
            <w:tcW w:w="768"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环保投资概算</w:t>
            </w:r>
          </w:p>
        </w:tc>
        <w:tc>
          <w:tcPr>
            <w:tcW w:w="1586" w:type="pct"/>
            <w:gridSpan w:val="2"/>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cs="宋体"/>
                <w:color w:val="000000"/>
                <w:kern w:val="0"/>
                <w:szCs w:val="24"/>
                <w:lang w:val="en-US" w:eastAsia="zh-CN"/>
              </w:rPr>
              <w:t>100万元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实际总投资</w:t>
            </w:r>
          </w:p>
        </w:tc>
        <w:tc>
          <w:tcPr>
            <w:tcW w:w="1282"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cs="宋体"/>
                <w:color w:val="000000"/>
                <w:kern w:val="0"/>
                <w:szCs w:val="24"/>
                <w:lang w:val="en-US" w:eastAsia="zh-CN"/>
              </w:rPr>
              <w:t>100万元</w:t>
            </w:r>
          </w:p>
        </w:tc>
        <w:tc>
          <w:tcPr>
            <w:tcW w:w="768"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实际环保投资</w:t>
            </w:r>
          </w:p>
        </w:tc>
        <w:tc>
          <w:tcPr>
            <w:tcW w:w="1586" w:type="pct"/>
            <w:gridSpan w:val="2"/>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cs="宋体"/>
                <w:color w:val="000000"/>
                <w:kern w:val="0"/>
                <w:szCs w:val="24"/>
                <w:lang w:val="en-US" w:eastAsia="zh-CN"/>
              </w:rPr>
              <w:t>100万元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64" w:type="pct"/>
            <w:tcBorders>
              <w:tl2br w:val="nil"/>
              <w:tr2bl w:val="nil"/>
            </w:tcBorders>
            <w:vAlign w:val="center"/>
          </w:tcPr>
          <w:p>
            <w:pPr>
              <w:adjustRightInd w:val="0"/>
              <w:snapToGrid w:val="0"/>
              <w:ind w:firstLine="0" w:firstLineChars="0"/>
              <w:jc w:val="center"/>
              <w:rPr>
                <w:rFonts w:hint="eastAsia" w:ascii="宋体" w:hAnsi="宋体" w:eastAsia="宋体" w:cs="宋体"/>
                <w:color w:val="000000"/>
                <w:kern w:val="0"/>
                <w:szCs w:val="24"/>
              </w:rPr>
            </w:pPr>
            <w:r>
              <w:rPr>
                <w:rFonts w:hint="eastAsia" w:ascii="宋体" w:hAnsi="宋体" w:eastAsia="宋体" w:cs="宋体"/>
                <w:color w:val="000000"/>
                <w:kern w:val="0"/>
                <w:szCs w:val="24"/>
              </w:rPr>
              <w:t>项目建设情况</w:t>
            </w:r>
          </w:p>
        </w:tc>
        <w:tc>
          <w:tcPr>
            <w:tcW w:w="3636" w:type="pct"/>
            <w:gridSpan w:val="4"/>
            <w:tcBorders>
              <w:tl2br w:val="nil"/>
              <w:tr2bl w:val="nil"/>
            </w:tcBorders>
            <w:vAlign w:val="center"/>
          </w:tcPr>
          <w:p>
            <w:pPr>
              <w:adjustRightInd w:val="0"/>
              <w:snapToGrid w:val="0"/>
              <w:ind w:firstLine="0" w:firstLineChars="0"/>
              <w:rPr>
                <w:rFonts w:hint="eastAsia" w:ascii="宋体" w:hAnsi="宋体" w:eastAsia="宋体" w:cs="宋体"/>
                <w:color w:val="000000"/>
                <w:kern w:val="0"/>
              </w:rPr>
            </w:pPr>
            <w:r>
              <w:rPr>
                <w:rFonts w:hint="eastAsia" w:ascii="宋体" w:hAnsi="宋体" w:cs="宋体"/>
                <w:color w:val="000000"/>
                <w:kern w:val="0"/>
                <w:lang w:eastAsia="zh-CN"/>
              </w:rPr>
              <w:t>河北友联建筑材料股份有限公司环保设施改造提升项目</w:t>
            </w:r>
            <w:r>
              <w:rPr>
                <w:rFonts w:hint="eastAsia" w:ascii="宋体" w:hAnsi="宋体" w:eastAsia="宋体" w:cs="宋体"/>
                <w:color w:val="000000"/>
                <w:kern w:val="0"/>
              </w:rPr>
              <w:t>建设地点位于</w:t>
            </w:r>
            <w:r>
              <w:rPr>
                <w:rFonts w:hint="eastAsia" w:ascii="宋体" w:hAnsi="宋体" w:cs="宋体"/>
                <w:color w:val="000000"/>
                <w:kern w:val="0"/>
                <w:lang w:eastAsia="zh-CN"/>
              </w:rPr>
              <w:t>赤城县赤城镇孙家庄村</w:t>
            </w:r>
            <w:r>
              <w:rPr>
                <w:rFonts w:hint="eastAsia" w:ascii="宋体" w:hAnsi="宋体" w:eastAsia="宋体" w:cs="宋体"/>
                <w:color w:val="000000"/>
                <w:kern w:val="0"/>
              </w:rPr>
              <w:t>，</w:t>
            </w:r>
            <w:r>
              <w:rPr>
                <w:rFonts w:hint="eastAsia" w:ascii="宋体" w:hAnsi="宋体" w:eastAsia="宋体" w:cs="宋体"/>
                <w:color w:val="000000"/>
                <w:kern w:val="0"/>
                <w:lang w:val="en-US" w:eastAsia="zh-CN"/>
              </w:rPr>
              <w:t>本次技改内容包括：</w:t>
            </w:r>
            <w:r>
              <w:rPr>
                <w:rFonts w:hint="eastAsia" w:ascii="宋体" w:hAnsi="宋体" w:cs="宋体"/>
                <w:color w:val="000000"/>
                <w:kern w:val="0"/>
                <w:lang w:val="en-US" w:eastAsia="zh-CN"/>
              </w:rPr>
              <w:t>设置在线环保监测系统一套，更换洒水车，更换车辆喷淋设备一套，硬化道路和院面，更换除尘设施等</w:t>
            </w:r>
            <w:r>
              <w:rPr>
                <w:rFonts w:hint="eastAsia" w:ascii="宋体" w:hAnsi="宋体" w:cs="宋体"/>
                <w:color w:val="000000"/>
                <w:kern w:val="0"/>
                <w:lang w:eastAsia="zh-CN"/>
              </w:rPr>
              <w:t>。</w:t>
            </w:r>
            <w:r>
              <w:rPr>
                <w:rFonts w:hint="eastAsia" w:ascii="宋体" w:hAnsi="宋体" w:eastAsia="宋体" w:cs="宋体"/>
                <w:color w:val="000000"/>
                <w:kern w:val="0"/>
              </w:rPr>
              <w:t>目前主体工程及环保工程已经施工完毕，具备竣工验收条件。</w:t>
            </w:r>
          </w:p>
        </w:tc>
      </w:tr>
    </w:tbl>
    <w:p>
      <w:pPr>
        <w:pStyle w:val="5"/>
        <w:rPr>
          <w:rFonts w:hint="eastAsia" w:ascii="宋体" w:hAnsi="宋体" w:eastAsia="宋体" w:cs="宋体"/>
        </w:rPr>
      </w:pPr>
      <w:bookmarkStart w:id="14" w:name="_Toc7561"/>
      <w:r>
        <w:rPr>
          <w:rFonts w:hint="eastAsia" w:ascii="宋体" w:hAnsi="宋体" w:eastAsia="宋体" w:cs="宋体"/>
        </w:rPr>
        <w:t>2.2建设内容</w:t>
      </w:r>
      <w:bookmarkEnd w:id="14"/>
    </w:p>
    <w:bookmarkEnd w:id="13"/>
    <w:p>
      <w:pPr>
        <w:ind w:firstLine="480"/>
        <w:rPr>
          <w:rFonts w:hint="eastAsia" w:ascii="宋体" w:hAnsi="宋体" w:eastAsia="宋体" w:cs="宋体"/>
        </w:rPr>
      </w:pPr>
      <w:bookmarkStart w:id="15" w:name="_Toc514680736"/>
      <w:r>
        <w:rPr>
          <w:rFonts w:hint="eastAsia" w:ascii="宋体" w:hAnsi="宋体" w:eastAsia="宋体" w:cs="宋体"/>
        </w:rPr>
        <w:t>本项目为技改项目，</w:t>
      </w:r>
      <w:r>
        <w:rPr>
          <w:rFonts w:hint="eastAsia" w:ascii="宋体" w:hAnsi="宋体" w:cs="宋体"/>
          <w:lang w:eastAsia="zh-CN"/>
        </w:rPr>
        <w:t>主要建设内容为设置在线环保监测系统一套，更换洒水车，更换车辆喷淋设备一套，硬化道路和院面，更换除尘设施等。</w:t>
      </w:r>
    </w:p>
    <w:p>
      <w:pPr>
        <w:pStyle w:val="6"/>
        <w:rPr>
          <w:rFonts w:hint="eastAsia" w:ascii="宋体" w:hAnsi="宋体" w:eastAsia="宋体" w:cs="宋体"/>
        </w:rPr>
      </w:pPr>
      <w:r>
        <w:rPr>
          <w:rFonts w:hint="eastAsia" w:ascii="宋体" w:hAnsi="宋体" w:eastAsia="宋体" w:cs="宋体"/>
        </w:rPr>
        <w:t>2.2.1项目组成</w:t>
      </w:r>
    </w:p>
    <w:p>
      <w:pPr>
        <w:ind w:firstLine="480"/>
        <w:rPr>
          <w:rFonts w:hint="eastAsia" w:ascii="宋体" w:hAnsi="宋体" w:eastAsia="宋体" w:cs="宋体"/>
        </w:rPr>
      </w:pPr>
      <w:r>
        <w:rPr>
          <w:rFonts w:hint="eastAsia" w:ascii="宋体" w:hAnsi="宋体" w:eastAsia="宋体" w:cs="宋体"/>
        </w:rPr>
        <w:t>根据项目实际建设情况，对照环境影响报告表建设情况，列表如下。</w:t>
      </w:r>
    </w:p>
    <w:p>
      <w:pPr>
        <w:pStyle w:val="110"/>
        <w:rPr>
          <w:rFonts w:hint="eastAsia" w:ascii="宋体" w:hAnsi="宋体" w:eastAsia="宋体" w:cs="宋体"/>
        </w:rPr>
      </w:pPr>
      <w:r>
        <w:rPr>
          <w:rFonts w:hint="eastAsia" w:ascii="宋体" w:hAnsi="宋体" w:eastAsia="宋体" w:cs="宋体"/>
        </w:rPr>
        <w:t>表2-1     项目主要建设内容对照一览表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597"/>
        <w:gridCol w:w="846"/>
        <w:gridCol w:w="2272"/>
        <w:gridCol w:w="1541"/>
        <w:gridCol w:w="1270"/>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tcBorders>
              <w:top w:val="single" w:color="auto" w:sz="4" w:space="0"/>
              <w:left w:val="single" w:color="auto" w:sz="4" w:space="0"/>
              <w:right w:val="single" w:color="auto" w:sz="4" w:space="0"/>
            </w:tcBorders>
            <w:vAlign w:val="center"/>
          </w:tcPr>
          <w:p>
            <w:pPr>
              <w:pStyle w:val="112"/>
              <w:rPr>
                <w:rFonts w:hint="eastAsia" w:ascii="宋体" w:hAnsi="宋体" w:eastAsia="宋体" w:cs="宋体"/>
                <w:b/>
              </w:rPr>
            </w:pPr>
            <w:r>
              <w:rPr>
                <w:rFonts w:hint="eastAsia" w:ascii="宋体" w:hAnsi="宋体" w:eastAsia="宋体" w:cs="宋体"/>
                <w:b/>
              </w:rPr>
              <w:t>序号</w:t>
            </w:r>
          </w:p>
        </w:tc>
        <w:tc>
          <w:tcPr>
            <w:tcW w:w="846" w:type="pct"/>
            <w:gridSpan w:val="2"/>
            <w:vMerge w:val="restart"/>
            <w:tcBorders>
              <w:top w:val="single" w:color="auto" w:sz="4" w:space="0"/>
              <w:left w:val="single" w:color="auto" w:sz="4" w:space="0"/>
              <w:right w:val="single" w:color="auto" w:sz="4" w:space="0"/>
            </w:tcBorders>
            <w:vAlign w:val="center"/>
          </w:tcPr>
          <w:p>
            <w:pPr>
              <w:pStyle w:val="112"/>
              <w:rPr>
                <w:rFonts w:hint="eastAsia" w:ascii="宋体" w:hAnsi="宋体" w:eastAsia="宋体" w:cs="宋体"/>
                <w:b/>
              </w:rPr>
            </w:pPr>
            <w:r>
              <w:rPr>
                <w:rFonts w:hint="eastAsia" w:ascii="宋体" w:hAnsi="宋体" w:eastAsia="宋体" w:cs="宋体"/>
                <w:b/>
              </w:rPr>
              <w:t>项目组成</w:t>
            </w:r>
          </w:p>
        </w:tc>
        <w:tc>
          <w:tcPr>
            <w:tcW w:w="2237" w:type="pct"/>
            <w:gridSpan w:val="2"/>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
              </w:rPr>
            </w:pPr>
            <w:r>
              <w:rPr>
                <w:rFonts w:hint="eastAsia" w:ascii="宋体" w:hAnsi="宋体" w:eastAsia="宋体" w:cs="宋体"/>
                <w:b/>
              </w:rPr>
              <w:t>环境影响报告表要求建设情况</w:t>
            </w:r>
          </w:p>
        </w:tc>
        <w:tc>
          <w:tcPr>
            <w:tcW w:w="745" w:type="pct"/>
            <w:vMerge w:val="restart"/>
            <w:tcBorders>
              <w:top w:val="single" w:color="auto" w:sz="4" w:space="0"/>
              <w:left w:val="single" w:color="auto" w:sz="4" w:space="0"/>
              <w:right w:val="single" w:color="auto" w:sz="4" w:space="0"/>
            </w:tcBorders>
            <w:vAlign w:val="center"/>
          </w:tcPr>
          <w:p>
            <w:pPr>
              <w:pStyle w:val="112"/>
              <w:rPr>
                <w:rFonts w:hint="eastAsia" w:ascii="宋体" w:hAnsi="宋体" w:eastAsia="宋体" w:cs="宋体"/>
                <w:b/>
              </w:rPr>
            </w:pPr>
            <w:r>
              <w:rPr>
                <w:rFonts w:hint="eastAsia" w:ascii="宋体" w:hAnsi="宋体" w:eastAsia="宋体" w:cs="宋体"/>
                <w:b/>
              </w:rPr>
              <w:t>项目实际建设情况</w:t>
            </w:r>
          </w:p>
        </w:tc>
        <w:tc>
          <w:tcPr>
            <w:tcW w:w="745" w:type="pct"/>
            <w:vMerge w:val="restart"/>
            <w:tcBorders>
              <w:top w:val="single" w:color="auto" w:sz="4" w:space="0"/>
              <w:left w:val="single" w:color="auto" w:sz="4" w:space="0"/>
              <w:right w:val="single" w:color="auto" w:sz="4" w:space="0"/>
            </w:tcBorders>
            <w:vAlign w:val="center"/>
          </w:tcPr>
          <w:p>
            <w:pPr>
              <w:pStyle w:val="112"/>
              <w:rPr>
                <w:rFonts w:hint="eastAsia" w:ascii="宋体" w:hAnsi="宋体" w:eastAsia="宋体" w:cs="宋体"/>
                <w:b/>
              </w:rPr>
            </w:pPr>
            <w:r>
              <w:rPr>
                <w:rFonts w:hint="eastAsia" w:ascii="宋体" w:hAnsi="宋体" w:eastAsia="宋体" w:cs="宋体"/>
                <w:b/>
              </w:rPr>
              <w:t>变动情况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846" w:type="pct"/>
            <w:gridSpan w:val="2"/>
            <w:vMerge w:val="continue"/>
            <w:tcBorders>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1333"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建设规模</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备注</w:t>
            </w:r>
          </w:p>
        </w:tc>
        <w:tc>
          <w:tcPr>
            <w:tcW w:w="745" w:type="pct"/>
            <w:vMerge w:val="continue"/>
            <w:tcBorders>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745" w:type="pct"/>
            <w:vMerge w:val="continue"/>
            <w:tcBorders>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tcBorders>
              <w:top w:val="single" w:color="auto" w:sz="4" w:space="0"/>
              <w:left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1</w:t>
            </w:r>
          </w:p>
        </w:tc>
        <w:tc>
          <w:tcPr>
            <w:tcW w:w="350" w:type="pct"/>
            <w:vMerge w:val="restart"/>
            <w:tcBorders>
              <w:top w:val="single" w:color="auto" w:sz="4" w:space="0"/>
              <w:left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主体工程</w:t>
            </w:r>
          </w:p>
        </w:tc>
        <w:tc>
          <w:tcPr>
            <w:tcW w:w="496"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color w:val="000000" w:themeColor="text1"/>
                <w:sz w:val="21"/>
                <w:szCs w:val="21"/>
                <w14:textFill>
                  <w14:solidFill>
                    <w14:schemeClr w14:val="tx1"/>
                  </w14:solidFill>
                </w14:textFill>
              </w:rPr>
              <w:t>混凝土生产线</w:t>
            </w:r>
          </w:p>
        </w:tc>
        <w:tc>
          <w:tcPr>
            <w:tcW w:w="1333" w:type="pct"/>
            <w:vMerge w:val="restart"/>
            <w:tcBorders>
              <w:top w:val="single" w:color="auto" w:sz="4" w:space="0"/>
              <w:left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cs="宋体"/>
                <w:lang w:val="en-US" w:eastAsia="zh-CN"/>
              </w:rPr>
              <w:t>设置在线环保监测系统一套，更换洒水车，更换车辆喷淋设备一套，硬化道路和院面，更换除尘设施等</w:t>
            </w:r>
            <w:r>
              <w:rPr>
                <w:rFonts w:hint="eastAsia" w:ascii="宋体" w:hAnsi="宋体" w:eastAsia="宋体" w:cs="宋体"/>
                <w:lang w:val="en-US" w:eastAsia="zh-CN"/>
              </w:rPr>
              <w:t>。</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cs="宋体"/>
                <w:lang w:val="en-US" w:eastAsia="zh-CN"/>
              </w:rPr>
              <w:t>年产商品混凝土6万立方米</w:t>
            </w:r>
          </w:p>
        </w:tc>
        <w:tc>
          <w:tcPr>
            <w:tcW w:w="745" w:type="pct"/>
            <w:vMerge w:val="restart"/>
            <w:tcBorders>
              <w:top w:val="single" w:color="auto" w:sz="4" w:space="0"/>
              <w:left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与环评一致</w:t>
            </w:r>
          </w:p>
        </w:tc>
        <w:tc>
          <w:tcPr>
            <w:tcW w:w="745" w:type="pct"/>
            <w:vMerge w:val="restart"/>
            <w:tcBorders>
              <w:top w:val="single" w:color="auto" w:sz="4" w:space="0"/>
              <w:left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496"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预拌干粉砂浆</w:t>
            </w:r>
          </w:p>
        </w:tc>
        <w:tc>
          <w:tcPr>
            <w:tcW w:w="1333" w:type="pct"/>
            <w:vMerge w:val="continue"/>
            <w:tcBorders>
              <w:left w:val="single" w:color="auto" w:sz="4" w:space="0"/>
              <w:bottom w:val="single" w:color="auto" w:sz="4" w:space="0"/>
              <w:right w:val="single" w:color="auto" w:sz="4" w:space="0"/>
            </w:tcBorders>
            <w:vAlign w:val="center"/>
          </w:tcPr>
          <w:p>
            <w:pPr>
              <w:pStyle w:val="112"/>
              <w:rPr>
                <w:rFonts w:hint="eastAsia" w:ascii="宋体" w:hAnsi="宋体" w:cs="宋体"/>
                <w:lang w:val="en-US" w:eastAsia="zh-CN"/>
              </w:rPr>
            </w:pP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cs="宋体"/>
                <w:lang w:val="en-US" w:eastAsia="zh-CN"/>
              </w:rPr>
            </w:pPr>
            <w:r>
              <w:rPr>
                <w:rFonts w:hint="eastAsia" w:ascii="宋体" w:hAnsi="宋体" w:cs="宋体"/>
                <w:lang w:val="en-US" w:eastAsia="zh-CN"/>
              </w:rPr>
              <w:t>年产预拌干粉砂浆35万吨</w:t>
            </w:r>
          </w:p>
        </w:tc>
        <w:tc>
          <w:tcPr>
            <w:tcW w:w="745" w:type="pct"/>
            <w:vMerge w:val="continue"/>
            <w:tcBorders>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p>
        </w:tc>
        <w:tc>
          <w:tcPr>
            <w:tcW w:w="745" w:type="pct"/>
            <w:vMerge w:val="continue"/>
            <w:tcBorders>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tcBorders>
              <w:top w:val="single" w:color="auto" w:sz="4" w:space="0"/>
              <w:left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2</w:t>
            </w:r>
          </w:p>
        </w:tc>
        <w:tc>
          <w:tcPr>
            <w:tcW w:w="350" w:type="pct"/>
            <w:vMerge w:val="restart"/>
            <w:tcBorders>
              <w:top w:val="single" w:color="auto" w:sz="4" w:space="0"/>
              <w:left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储运工程</w:t>
            </w:r>
          </w:p>
        </w:tc>
        <w:tc>
          <w:tcPr>
            <w:tcW w:w="496"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原料库</w:t>
            </w:r>
          </w:p>
        </w:tc>
        <w:tc>
          <w:tcPr>
            <w:tcW w:w="1333"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lang w:val="en-US" w:eastAsia="zh-CN"/>
              </w:rPr>
              <w:t>钢结构厂房2座，用于储存砂石料等原料</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lang w:eastAsia="zh-CN"/>
              </w:rPr>
            </w:pPr>
            <w:r>
              <w:rPr>
                <w:rFonts w:hint="eastAsia" w:ascii="宋体" w:hAnsi="宋体" w:eastAsia="宋体" w:cs="宋体"/>
                <w:lang w:val="en-US" w:eastAsia="zh-CN"/>
              </w:rPr>
              <w:t>利旧</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496" w:type="pct"/>
            <w:vMerge w:val="restart"/>
            <w:tcBorders>
              <w:top w:val="single" w:color="auto" w:sz="4" w:space="0"/>
              <w:left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筒仓</w:t>
            </w:r>
          </w:p>
        </w:tc>
        <w:tc>
          <w:tcPr>
            <w:tcW w:w="1333" w:type="pct"/>
            <w:tcBorders>
              <w:top w:val="single" w:color="auto" w:sz="4" w:space="0"/>
              <w:left w:val="single" w:color="auto" w:sz="4" w:space="0"/>
              <w:bottom w:val="single" w:color="auto" w:sz="4" w:space="0"/>
              <w:right w:val="single" w:color="auto" w:sz="4" w:space="0"/>
            </w:tcBorders>
            <w:vAlign w:val="center"/>
          </w:tcPr>
          <w:p>
            <w:pPr>
              <w:spacing w:line="240" w:lineRule="atLeast"/>
              <w:ind w:left="0" w:leftChars="0" w:firstLine="0" w:firstLineChars="0"/>
              <w:jc w:val="both"/>
              <w:rPr>
                <w:rFonts w:hint="eastAsia" w:ascii="宋体" w:hAnsi="宋体" w:eastAsia="宋体" w:cs="宋体"/>
              </w:rPr>
            </w:pPr>
            <w:r>
              <w:rPr>
                <w:rFonts w:hint="eastAsia" w:ascii="Times New Roman" w:hAnsi="Times New Roman" w:eastAsia="宋体" w:cs="Times New Roman"/>
                <w:color w:val="auto"/>
                <w:sz w:val="21"/>
                <w:szCs w:val="21"/>
                <w:lang w:val="en-US" w:eastAsia="zh-CN"/>
              </w:rPr>
              <w:t>HZS120搅拌系统配套4个筒仓。其中水泥筒仓2个，粉煤灰筒仓1个，矿粉筒仓1个。</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default" w:ascii="宋体" w:hAnsi="宋体" w:eastAsia="宋体" w:cs="宋体"/>
                <w:lang w:val="en-US" w:eastAsia="zh-CN"/>
              </w:rPr>
            </w:pPr>
            <w:r>
              <w:rPr>
                <w:rFonts w:hint="eastAsia" w:ascii="宋体" w:hAnsi="宋体" w:cs="宋体"/>
                <w:lang w:val="en-US" w:eastAsia="zh-CN"/>
              </w:rPr>
              <w:t>利旧</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496"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1333" w:type="pct"/>
            <w:tcBorders>
              <w:top w:val="single" w:color="auto" w:sz="4" w:space="0"/>
              <w:left w:val="single" w:color="auto" w:sz="4" w:space="0"/>
              <w:bottom w:val="single" w:color="auto" w:sz="4" w:space="0"/>
              <w:right w:val="single" w:color="auto" w:sz="4" w:space="0"/>
            </w:tcBorders>
            <w:vAlign w:val="center"/>
          </w:tcPr>
          <w:p>
            <w:pPr>
              <w:spacing w:line="240" w:lineRule="atLeast"/>
              <w:ind w:left="0" w:leftChars="0" w:firstLine="0" w:firstLineChars="0"/>
              <w:jc w:val="both"/>
              <w:rPr>
                <w:rFonts w:hint="eastAsia" w:ascii="宋体" w:hAnsi="宋体" w:cs="宋体"/>
                <w:lang w:val="en-US" w:eastAsia="zh-CN"/>
              </w:rPr>
            </w:pPr>
            <w:r>
              <w:rPr>
                <w:rFonts w:hint="eastAsia" w:ascii="Times New Roman" w:hAnsi="Times New Roman" w:eastAsia="宋体" w:cs="Times New Roman"/>
                <w:color w:val="auto"/>
                <w:sz w:val="21"/>
                <w:szCs w:val="21"/>
                <w:lang w:val="en-US" w:eastAsia="zh-CN"/>
              </w:rPr>
              <w:t>HZS120搅拌系统配套4个筒仓。其中水泥筒仓2个，粉煤灰筒仓1个，矿粉筒仓1个。</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cs="宋体"/>
                <w:lang w:val="en-US" w:eastAsia="zh-CN"/>
              </w:rPr>
            </w:pPr>
            <w:r>
              <w:rPr>
                <w:rFonts w:hint="eastAsia" w:ascii="宋体" w:hAnsi="宋体" w:cs="宋体"/>
                <w:lang w:val="en-US" w:eastAsia="zh-CN"/>
              </w:rPr>
              <w:t>利旧</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ind w:firstLine="0" w:firstLineChars="0"/>
              <w:rPr>
                <w:rFonts w:hint="eastAsia" w:ascii="宋体" w:hAnsi="宋体" w:eastAsia="宋体" w:cs="宋体"/>
                <w:bCs/>
                <w:kern w:val="0"/>
                <w:sz w:val="21"/>
                <w:szCs w:val="21"/>
                <w:lang w:val="en-US" w:eastAsia="zh-CN" w:bidi="ar-SA"/>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496" w:type="pct"/>
            <w:vMerge w:val="continue"/>
            <w:tcBorders>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1333" w:type="pct"/>
            <w:tcBorders>
              <w:top w:val="single" w:color="auto" w:sz="4" w:space="0"/>
              <w:left w:val="single" w:color="auto" w:sz="4" w:space="0"/>
              <w:bottom w:val="single" w:color="auto" w:sz="4" w:space="0"/>
              <w:right w:val="single" w:color="auto" w:sz="4" w:space="0"/>
            </w:tcBorders>
            <w:vAlign w:val="center"/>
          </w:tcPr>
          <w:p>
            <w:pPr>
              <w:spacing w:line="240" w:lineRule="atLeast"/>
              <w:ind w:left="0" w:leftChars="0" w:firstLine="0" w:firstLineChars="0"/>
              <w:jc w:val="both"/>
              <w:rPr>
                <w:rFonts w:hint="eastAsia" w:ascii="宋体" w:hAnsi="宋体" w:cs="宋体"/>
                <w:lang w:val="en-US" w:eastAsia="zh-CN"/>
              </w:rPr>
            </w:pPr>
            <w:r>
              <w:rPr>
                <w:rFonts w:hint="eastAsia" w:ascii="Times New Roman" w:hAnsi="Times New Roman" w:eastAsia="宋体" w:cs="Times New Roman"/>
                <w:color w:val="auto"/>
                <w:sz w:val="21"/>
                <w:szCs w:val="21"/>
                <w:lang w:val="en-US" w:eastAsia="zh-CN"/>
              </w:rPr>
              <w:t>预拌干粉砂浆生产线系统配套5个筒仓。其中粉料筒仓3个，储料筒仓2个。</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cs="宋体"/>
                <w:lang w:val="en-US" w:eastAsia="zh-CN"/>
              </w:rPr>
            </w:pPr>
            <w:r>
              <w:rPr>
                <w:rFonts w:hint="eastAsia" w:ascii="宋体" w:hAnsi="宋体" w:cs="宋体"/>
                <w:lang w:val="en-US" w:eastAsia="zh-CN"/>
              </w:rPr>
              <w:t>利旧</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ind w:firstLine="0" w:firstLineChars="0"/>
              <w:rPr>
                <w:rFonts w:hint="eastAsia" w:ascii="宋体" w:hAnsi="宋体" w:eastAsia="宋体" w:cs="宋体"/>
                <w:bCs/>
                <w:kern w:val="0"/>
                <w:sz w:val="21"/>
                <w:szCs w:val="21"/>
                <w:lang w:val="en-US" w:eastAsia="zh-CN" w:bidi="ar-SA"/>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496"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lang w:val="en-US" w:eastAsia="zh-CN"/>
              </w:rPr>
            </w:pPr>
            <w:r>
              <w:rPr>
                <w:rFonts w:hint="eastAsia" w:ascii="宋体" w:hAnsi="宋体" w:cs="宋体"/>
                <w:lang w:val="en-US" w:eastAsia="zh-CN"/>
              </w:rPr>
              <w:t>运输</w:t>
            </w:r>
          </w:p>
        </w:tc>
        <w:tc>
          <w:tcPr>
            <w:tcW w:w="1333" w:type="pct"/>
            <w:tcBorders>
              <w:top w:val="single" w:color="auto" w:sz="4" w:space="0"/>
              <w:left w:val="single" w:color="auto" w:sz="4" w:space="0"/>
              <w:bottom w:val="single" w:color="auto" w:sz="4" w:space="0"/>
              <w:right w:val="single" w:color="auto" w:sz="4" w:space="0"/>
            </w:tcBorders>
            <w:vAlign w:val="center"/>
          </w:tcPr>
          <w:p>
            <w:pPr>
              <w:spacing w:line="240" w:lineRule="atLeast"/>
              <w:ind w:left="0" w:leftChars="0" w:firstLine="0"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厂外运输采用混凝土搅拌车运输；厂内运输采用输送带、铲车等完成</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cs="宋体"/>
                <w:lang w:val="en-US" w:eastAsia="zh-CN"/>
              </w:rPr>
            </w:pPr>
            <w:r>
              <w:rPr>
                <w:rFonts w:hint="eastAsia" w:ascii="宋体" w:hAnsi="宋体" w:cs="宋体"/>
                <w:lang w:val="en-US" w:eastAsia="zh-CN"/>
              </w:rPr>
              <w:t>利旧</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ind w:firstLine="0" w:firstLineChars="0"/>
              <w:rPr>
                <w:rFonts w:hint="eastAsia" w:ascii="宋体" w:hAnsi="宋体" w:eastAsia="宋体" w:cs="宋体"/>
                <w:bCs/>
                <w:kern w:val="0"/>
                <w:sz w:val="21"/>
                <w:szCs w:val="21"/>
                <w:lang w:val="en-US" w:eastAsia="zh-CN" w:bidi="ar-SA"/>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3</w:t>
            </w:r>
          </w:p>
        </w:tc>
        <w:tc>
          <w:tcPr>
            <w:tcW w:w="350" w:type="pct"/>
            <w:vMerge w:val="restar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辅助工程</w:t>
            </w:r>
          </w:p>
        </w:tc>
        <w:tc>
          <w:tcPr>
            <w:tcW w:w="496"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办公及生活用房</w:t>
            </w:r>
          </w:p>
        </w:tc>
        <w:tc>
          <w:tcPr>
            <w:tcW w:w="1333"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lang w:val="en-US" w:eastAsia="zh-CN"/>
              </w:rPr>
              <w:t>砖混结构、建筑面积约1500平方米</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lang w:eastAsia="zh-CN"/>
              </w:rPr>
            </w:pPr>
            <w:r>
              <w:rPr>
                <w:rFonts w:hint="eastAsia" w:ascii="宋体" w:hAnsi="宋体" w:eastAsia="宋体" w:cs="宋体"/>
                <w:lang w:val="en-US" w:eastAsia="zh-CN"/>
              </w:rPr>
              <w:t>利旧</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496"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检验室</w:t>
            </w:r>
          </w:p>
        </w:tc>
        <w:tc>
          <w:tcPr>
            <w:tcW w:w="1333"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color w:val="auto"/>
                <w:sz w:val="21"/>
                <w:szCs w:val="21"/>
                <w:lang w:val="en-US" w:eastAsia="zh-CN"/>
              </w:rPr>
              <w:t>建筑面积150平方米用于原料及产品的检测</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lang w:eastAsia="zh-CN"/>
              </w:rPr>
            </w:pPr>
            <w:r>
              <w:rPr>
                <w:rFonts w:hint="eastAsia" w:ascii="宋体" w:hAnsi="宋体" w:eastAsia="宋体" w:cs="宋体"/>
                <w:lang w:val="en-US" w:eastAsia="zh-CN"/>
              </w:rPr>
              <w:t>利旧</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4</w:t>
            </w:r>
          </w:p>
        </w:tc>
        <w:tc>
          <w:tcPr>
            <w:tcW w:w="350" w:type="pct"/>
            <w:vMerge w:val="restar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公用工程</w:t>
            </w:r>
          </w:p>
        </w:tc>
        <w:tc>
          <w:tcPr>
            <w:tcW w:w="496"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供电工程</w:t>
            </w:r>
          </w:p>
        </w:tc>
        <w:tc>
          <w:tcPr>
            <w:tcW w:w="1333"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color w:val="auto"/>
                <w:sz w:val="21"/>
                <w:szCs w:val="21"/>
                <w:lang w:val="en-US" w:eastAsia="zh-CN"/>
              </w:rPr>
              <w:t>接市政电网</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lang w:eastAsia="zh-CN"/>
              </w:rPr>
            </w:pPr>
            <w:r>
              <w:rPr>
                <w:rFonts w:hint="eastAsia" w:ascii="宋体" w:hAnsi="宋体" w:eastAsia="宋体" w:cs="宋体"/>
                <w:lang w:val="en-US" w:eastAsia="zh-CN"/>
              </w:rPr>
              <w:t>利旧</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496"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给水工程</w:t>
            </w:r>
          </w:p>
        </w:tc>
        <w:tc>
          <w:tcPr>
            <w:tcW w:w="1333"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cs="宋体"/>
                <w:lang w:val="en-US" w:eastAsia="zh-CN"/>
              </w:rPr>
              <w:t>自备井提供（取水证见附件）</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lang w:val="en-US" w:eastAsia="zh-CN"/>
              </w:rPr>
              <w:t>利旧</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496"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排水工程</w:t>
            </w:r>
          </w:p>
        </w:tc>
        <w:tc>
          <w:tcPr>
            <w:tcW w:w="1333"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生产废水经沉淀池沉淀后循环利用不外排；生活污水泼洒抑尘，厂区设防渗旱厕</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lang w:eastAsia="zh-CN"/>
              </w:rPr>
            </w:pPr>
            <w:r>
              <w:rPr>
                <w:rFonts w:hint="eastAsia" w:ascii="宋体" w:hAnsi="宋体" w:eastAsia="宋体" w:cs="宋体"/>
                <w:lang w:val="en-US" w:eastAsia="zh-CN"/>
              </w:rPr>
              <w:t>利旧</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496"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供热工程</w:t>
            </w:r>
          </w:p>
        </w:tc>
        <w:tc>
          <w:tcPr>
            <w:tcW w:w="1333"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项目冬季不生产，无需供热</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5</w:t>
            </w:r>
          </w:p>
        </w:tc>
        <w:tc>
          <w:tcPr>
            <w:tcW w:w="350" w:type="pct"/>
            <w:vMerge w:val="restar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环保工程</w:t>
            </w:r>
          </w:p>
        </w:tc>
        <w:tc>
          <w:tcPr>
            <w:tcW w:w="496" w:type="pct"/>
            <w:vMerge w:val="restart"/>
            <w:tcBorders>
              <w:top w:val="single" w:color="auto" w:sz="4" w:space="0"/>
              <w:left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废气治理</w:t>
            </w:r>
          </w:p>
        </w:tc>
        <w:tc>
          <w:tcPr>
            <w:tcW w:w="1333" w:type="pct"/>
            <w:tcBorders>
              <w:top w:val="single" w:color="auto" w:sz="4" w:space="0"/>
              <w:left w:val="single" w:color="auto" w:sz="4" w:space="0"/>
              <w:bottom w:val="single" w:color="auto" w:sz="4" w:space="0"/>
              <w:right w:val="single" w:color="auto" w:sz="4" w:space="0"/>
            </w:tcBorders>
            <w:vAlign w:val="center"/>
          </w:tcPr>
          <w:p>
            <w:pPr>
              <w:pStyle w:val="112"/>
              <w:jc w:val="left"/>
              <w:rPr>
                <w:rFonts w:hint="eastAsia" w:ascii="宋体" w:hAnsi="宋体" w:eastAsia="宋体" w:cs="宋体"/>
                <w:lang w:val="en-US" w:eastAsia="zh-CN"/>
              </w:rPr>
            </w:pPr>
            <w:r>
              <w:rPr>
                <w:rFonts w:hint="eastAsia" w:ascii="宋体" w:hAnsi="宋体" w:eastAsia="宋体" w:cs="宋体"/>
                <w:lang w:val="en-US" w:eastAsia="zh-CN"/>
              </w:rPr>
              <w:t>①筒仓呼吸粉尘：</w:t>
            </w:r>
            <w:r>
              <w:rPr>
                <w:rFonts w:hint="eastAsia" w:ascii="宋体" w:hAnsi="宋体" w:cs="宋体"/>
                <w:lang w:val="en-US" w:eastAsia="zh-CN"/>
              </w:rPr>
              <w:t>混凝土生产配套8个筒仓，经筒仓顶部分别配套的除尘设施处理后排放口高度不低于15米排放；预拌干粉砂浆配套5个筒仓，每3座粉料罐仓顶呼吸口通过管道连接后共用一台除尘器，2座储料罐仓顶呼吸口通过管道连接后共用一台除尘器，共设置两台除尘器。呼吸粉尘经除尘器处理后通过不低于15m高排气筒排放</w:t>
            </w:r>
            <w:r>
              <w:rPr>
                <w:rFonts w:hint="eastAsia" w:ascii="宋体" w:hAnsi="宋体" w:eastAsia="宋体" w:cs="宋体"/>
                <w:lang w:val="en-US" w:eastAsia="zh-CN"/>
              </w:rPr>
              <w:t>；</w:t>
            </w:r>
          </w:p>
          <w:p>
            <w:pPr>
              <w:pStyle w:val="112"/>
              <w:jc w:val="left"/>
              <w:rPr>
                <w:rFonts w:hint="eastAsia" w:ascii="宋体" w:hAnsi="宋体" w:eastAsia="宋体" w:cs="宋体"/>
                <w:lang w:val="en-US" w:eastAsia="zh-CN"/>
              </w:rPr>
            </w:pPr>
            <w:r>
              <w:rPr>
                <w:rFonts w:hint="eastAsia" w:ascii="宋体" w:hAnsi="宋体" w:eastAsia="宋体" w:cs="宋体"/>
                <w:lang w:val="en-US" w:eastAsia="zh-CN"/>
              </w:rPr>
              <w:t>②上料搅拌粉尘：经布袋除尘器处理后粉尘通过15m排气筒高空排放；</w:t>
            </w:r>
          </w:p>
          <w:p>
            <w:pPr>
              <w:pStyle w:val="112"/>
              <w:jc w:val="left"/>
              <w:rPr>
                <w:rFonts w:hint="eastAsia" w:ascii="宋体" w:hAnsi="宋体" w:eastAsia="宋体" w:cs="宋体"/>
                <w:lang w:val="en-US" w:eastAsia="zh-CN"/>
              </w:rPr>
            </w:pPr>
            <w:r>
              <w:rPr>
                <w:rFonts w:hint="eastAsia" w:ascii="宋体" w:hAnsi="宋体" w:eastAsia="宋体" w:cs="宋体"/>
                <w:lang w:val="en-US" w:eastAsia="zh-CN"/>
              </w:rPr>
              <w:t>③砂石料输送采用密闭传送带；</w:t>
            </w:r>
          </w:p>
          <w:p>
            <w:pPr>
              <w:pStyle w:val="112"/>
              <w:jc w:val="left"/>
              <w:rPr>
                <w:rFonts w:hint="eastAsia" w:ascii="宋体" w:hAnsi="宋体" w:eastAsia="宋体" w:cs="宋体"/>
                <w:lang w:val="en-US" w:eastAsia="zh-CN"/>
              </w:rPr>
            </w:pPr>
            <w:r>
              <w:rPr>
                <w:rFonts w:hint="eastAsia" w:ascii="宋体" w:hAnsi="宋体" w:eastAsia="宋体" w:cs="宋体"/>
                <w:lang w:val="en-US" w:eastAsia="zh-CN"/>
              </w:rPr>
              <w:t>④砂石料库原料堆存、上料粉尘：砂石料库为封闭式库房，并通过洒水降尘</w:t>
            </w:r>
            <w:r>
              <w:rPr>
                <w:rFonts w:hint="eastAsia" w:ascii="宋体" w:hAnsi="宋体" w:cs="宋体"/>
                <w:lang w:val="en-US" w:eastAsia="zh-CN"/>
              </w:rPr>
              <w:t>。</w:t>
            </w:r>
          </w:p>
          <w:p>
            <w:pPr>
              <w:pStyle w:val="112"/>
              <w:rPr>
                <w:rFonts w:hint="default" w:ascii="宋体" w:hAnsi="宋体" w:eastAsia="宋体" w:cs="宋体"/>
                <w:lang w:val="en-US"/>
              </w:rPr>
            </w:pPr>
            <w:r>
              <w:rPr>
                <w:rFonts w:hint="eastAsia" w:ascii="宋体" w:hAnsi="宋体" w:eastAsia="宋体" w:cs="宋体"/>
                <w:lang w:val="en-US" w:eastAsia="zh-CN"/>
              </w:rPr>
              <w:t>⑤厂区地面硬化，并配套洒水车辆</w:t>
            </w:r>
            <w:r>
              <w:rPr>
                <w:rFonts w:hint="eastAsia" w:ascii="宋体" w:hAnsi="宋体" w:cs="宋体"/>
                <w:lang w:val="en-US" w:eastAsia="zh-CN"/>
              </w:rPr>
              <w:t>，雾炮</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496"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1333" w:type="pct"/>
            <w:tcBorders>
              <w:top w:val="single" w:color="auto" w:sz="4" w:space="0"/>
              <w:left w:val="single" w:color="auto" w:sz="4" w:space="0"/>
              <w:bottom w:val="single" w:color="auto" w:sz="4" w:space="0"/>
              <w:right w:val="single" w:color="auto" w:sz="4" w:space="0"/>
            </w:tcBorders>
            <w:vAlign w:val="center"/>
          </w:tcPr>
          <w:p>
            <w:pPr>
              <w:spacing w:line="240" w:lineRule="atLeast"/>
              <w:ind w:left="0" w:leftChars="0" w:firstLine="0" w:firstLineChars="0"/>
              <w:jc w:val="both"/>
              <w:rPr>
                <w:rFonts w:hint="eastAsia" w:ascii="宋体" w:hAnsi="宋体" w:eastAsia="宋体" w:cs="宋体"/>
                <w:lang w:val="en-US" w:eastAsia="zh-CN"/>
              </w:rPr>
            </w:pPr>
            <w:r>
              <w:rPr>
                <w:rFonts w:hint="eastAsia" w:ascii="Times New Roman" w:hAnsi="Times New Roman" w:eastAsia="宋体" w:cs="Times New Roman"/>
                <w:color w:val="auto"/>
                <w:sz w:val="21"/>
                <w:szCs w:val="21"/>
                <w:lang w:val="en-US" w:eastAsia="zh-CN"/>
              </w:rPr>
              <w:t>设置在线环保监测系统一套</w:t>
            </w:r>
          </w:p>
        </w:tc>
        <w:tc>
          <w:tcPr>
            <w:tcW w:w="904"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420" w:firstLineChars="200"/>
              <w:jc w:val="center"/>
              <w:rPr>
                <w:rFonts w:hint="eastAsia" w:ascii="宋体" w:hAnsi="宋体" w:eastAsia="宋体" w:cs="宋体"/>
              </w:rPr>
            </w:pPr>
            <w:r>
              <w:rPr>
                <w:rFonts w:hint="eastAsia" w:ascii="Times New Roman" w:hAnsi="Times New Roman" w:cs="Times New Roman"/>
                <w:color w:val="auto"/>
                <w:sz w:val="21"/>
                <w:szCs w:val="21"/>
                <w:lang w:val="en-US" w:eastAsia="zh-CN"/>
              </w:rPr>
              <w:t>新增</w:t>
            </w:r>
          </w:p>
        </w:tc>
        <w:tc>
          <w:tcPr>
            <w:tcW w:w="1270" w:type="dxa"/>
            <w:tcBorders>
              <w:top w:val="single" w:color="auto" w:sz="4" w:space="0"/>
              <w:left w:val="single" w:color="auto" w:sz="4" w:space="0"/>
              <w:bottom w:val="single" w:color="auto" w:sz="4" w:space="0"/>
              <w:right w:val="single" w:color="auto" w:sz="4" w:space="0"/>
            </w:tcBorders>
            <w:vAlign w:val="center"/>
          </w:tcPr>
          <w:p>
            <w:pPr>
              <w:pStyle w:val="112"/>
              <w:ind w:firstLine="0" w:firstLineChars="0"/>
              <w:rPr>
                <w:rFonts w:hint="eastAsia" w:ascii="宋体" w:hAnsi="宋体" w:eastAsia="宋体" w:cs="宋体"/>
                <w:bCs/>
              </w:rPr>
            </w:pPr>
            <w:r>
              <w:rPr>
                <w:rFonts w:hint="eastAsia" w:ascii="宋体" w:hAnsi="宋体" w:eastAsia="宋体" w:cs="宋体"/>
                <w:bCs/>
              </w:rPr>
              <w:t>与环评一致</w:t>
            </w:r>
          </w:p>
        </w:tc>
        <w:tc>
          <w:tcPr>
            <w:tcW w:w="1270" w:type="dxa"/>
            <w:tcBorders>
              <w:top w:val="single" w:color="auto" w:sz="4" w:space="0"/>
              <w:left w:val="single" w:color="auto" w:sz="4" w:space="0"/>
              <w:bottom w:val="single" w:color="auto" w:sz="4" w:space="0"/>
              <w:right w:val="single" w:color="auto" w:sz="4" w:space="0"/>
            </w:tcBorders>
            <w:vAlign w:val="center"/>
          </w:tcPr>
          <w:p>
            <w:pPr>
              <w:pStyle w:val="112"/>
              <w:ind w:firstLine="0" w:firstLineChars="0"/>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496"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1333" w:type="pct"/>
            <w:tcBorders>
              <w:top w:val="single" w:color="auto" w:sz="4" w:space="0"/>
              <w:left w:val="single" w:color="auto" w:sz="4" w:space="0"/>
              <w:bottom w:val="single" w:color="auto" w:sz="4" w:space="0"/>
              <w:right w:val="single" w:color="auto" w:sz="4" w:space="0"/>
            </w:tcBorders>
            <w:vAlign w:val="center"/>
          </w:tcPr>
          <w:p>
            <w:pPr>
              <w:spacing w:line="240" w:lineRule="atLeast"/>
              <w:ind w:left="0" w:leftChars="0" w:firstLine="0" w:firstLineChars="0"/>
              <w:jc w:val="both"/>
              <w:rPr>
                <w:rFonts w:hint="eastAsia" w:ascii="宋体" w:hAnsi="宋体" w:eastAsia="宋体" w:cs="宋体"/>
                <w:lang w:val="en-US" w:eastAsia="zh-CN"/>
              </w:rPr>
            </w:pPr>
            <w:r>
              <w:rPr>
                <w:rFonts w:hint="default" w:ascii="Times New Roman" w:hAnsi="Times New Roman" w:eastAsia="宋体" w:cs="Times New Roman"/>
                <w:color w:val="auto"/>
                <w:sz w:val="21"/>
                <w:szCs w:val="21"/>
                <w:lang w:val="en-US" w:eastAsia="zh-CN"/>
              </w:rPr>
              <w:t>洒水车由5吨更换为8吨的</w:t>
            </w:r>
          </w:p>
        </w:tc>
        <w:tc>
          <w:tcPr>
            <w:tcW w:w="904"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420" w:firstLineChars="200"/>
              <w:jc w:val="center"/>
              <w:rPr>
                <w:rFonts w:hint="eastAsia" w:ascii="宋体" w:hAnsi="宋体" w:eastAsia="宋体" w:cs="宋体"/>
              </w:rPr>
            </w:pPr>
            <w:r>
              <w:rPr>
                <w:rFonts w:hint="eastAsia" w:ascii="Times New Roman" w:hAnsi="Times New Roman" w:cs="Times New Roman"/>
                <w:color w:val="auto"/>
                <w:sz w:val="21"/>
                <w:szCs w:val="21"/>
                <w:lang w:val="en-US" w:eastAsia="zh-CN"/>
              </w:rPr>
              <w:t>新增</w:t>
            </w:r>
          </w:p>
        </w:tc>
        <w:tc>
          <w:tcPr>
            <w:tcW w:w="1270" w:type="dxa"/>
            <w:tcBorders>
              <w:top w:val="single" w:color="auto" w:sz="4" w:space="0"/>
              <w:left w:val="single" w:color="auto" w:sz="4" w:space="0"/>
              <w:bottom w:val="single" w:color="auto" w:sz="4" w:space="0"/>
              <w:right w:val="single" w:color="auto" w:sz="4" w:space="0"/>
            </w:tcBorders>
            <w:vAlign w:val="center"/>
          </w:tcPr>
          <w:p>
            <w:pPr>
              <w:pStyle w:val="112"/>
              <w:ind w:firstLine="0" w:firstLineChars="0"/>
              <w:rPr>
                <w:rFonts w:hint="eastAsia" w:ascii="宋体" w:hAnsi="宋体" w:eastAsia="宋体" w:cs="宋体"/>
                <w:bCs/>
              </w:rPr>
            </w:pPr>
            <w:r>
              <w:rPr>
                <w:rFonts w:hint="eastAsia" w:ascii="宋体" w:hAnsi="宋体" w:eastAsia="宋体" w:cs="宋体"/>
                <w:bCs/>
              </w:rPr>
              <w:t>与环评一致</w:t>
            </w:r>
          </w:p>
        </w:tc>
        <w:tc>
          <w:tcPr>
            <w:tcW w:w="1270" w:type="dxa"/>
            <w:tcBorders>
              <w:top w:val="single" w:color="auto" w:sz="4" w:space="0"/>
              <w:left w:val="single" w:color="auto" w:sz="4" w:space="0"/>
              <w:bottom w:val="single" w:color="auto" w:sz="4" w:space="0"/>
              <w:right w:val="single" w:color="auto" w:sz="4" w:space="0"/>
            </w:tcBorders>
            <w:vAlign w:val="center"/>
          </w:tcPr>
          <w:p>
            <w:pPr>
              <w:pStyle w:val="112"/>
              <w:ind w:firstLine="0" w:firstLineChars="0"/>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496"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1333" w:type="pct"/>
            <w:tcBorders>
              <w:top w:val="single" w:color="auto" w:sz="4" w:space="0"/>
              <w:left w:val="single" w:color="auto" w:sz="4" w:space="0"/>
              <w:bottom w:val="single" w:color="auto" w:sz="4" w:space="0"/>
              <w:right w:val="single" w:color="auto" w:sz="4" w:space="0"/>
            </w:tcBorders>
            <w:vAlign w:val="center"/>
          </w:tcPr>
          <w:p>
            <w:pPr>
              <w:spacing w:line="240" w:lineRule="atLeast"/>
              <w:ind w:left="0" w:leftChars="0" w:firstLine="0" w:firstLineChars="0"/>
              <w:jc w:val="both"/>
              <w:rPr>
                <w:rFonts w:hint="eastAsia" w:ascii="宋体" w:hAnsi="宋体" w:eastAsia="宋体" w:cs="宋体"/>
                <w:lang w:val="en-US" w:eastAsia="zh-CN"/>
              </w:rPr>
            </w:pPr>
            <w:r>
              <w:rPr>
                <w:rFonts w:hint="eastAsia" w:ascii="Times New Roman" w:hAnsi="Times New Roman" w:eastAsia="宋体" w:cs="Times New Roman"/>
                <w:color w:val="auto"/>
                <w:sz w:val="21"/>
                <w:szCs w:val="21"/>
                <w:lang w:val="en-US" w:eastAsia="zh-CN"/>
              </w:rPr>
              <w:t>增加“雾炮”1台</w:t>
            </w:r>
          </w:p>
        </w:tc>
        <w:tc>
          <w:tcPr>
            <w:tcW w:w="904"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420" w:firstLineChars="200"/>
              <w:jc w:val="center"/>
              <w:rPr>
                <w:rFonts w:hint="eastAsia" w:ascii="宋体" w:hAnsi="宋体" w:eastAsia="宋体" w:cs="宋体"/>
              </w:rPr>
            </w:pPr>
            <w:r>
              <w:rPr>
                <w:rFonts w:hint="eastAsia" w:ascii="Times New Roman" w:hAnsi="Times New Roman" w:cs="Times New Roman"/>
                <w:color w:val="auto"/>
                <w:sz w:val="21"/>
                <w:szCs w:val="21"/>
                <w:lang w:val="en-US" w:eastAsia="zh-CN"/>
              </w:rPr>
              <w:t>新增</w:t>
            </w:r>
          </w:p>
        </w:tc>
        <w:tc>
          <w:tcPr>
            <w:tcW w:w="1270" w:type="dxa"/>
            <w:tcBorders>
              <w:top w:val="single" w:color="auto" w:sz="4" w:space="0"/>
              <w:left w:val="single" w:color="auto" w:sz="4" w:space="0"/>
              <w:bottom w:val="single" w:color="auto" w:sz="4" w:space="0"/>
              <w:right w:val="single" w:color="auto" w:sz="4" w:space="0"/>
            </w:tcBorders>
            <w:vAlign w:val="center"/>
          </w:tcPr>
          <w:p>
            <w:pPr>
              <w:pStyle w:val="112"/>
              <w:ind w:firstLine="0" w:firstLineChars="0"/>
              <w:rPr>
                <w:rFonts w:hint="eastAsia" w:ascii="宋体" w:hAnsi="宋体" w:eastAsia="宋体" w:cs="宋体"/>
                <w:bCs/>
              </w:rPr>
            </w:pPr>
            <w:r>
              <w:rPr>
                <w:rFonts w:hint="eastAsia" w:ascii="宋体" w:hAnsi="宋体" w:eastAsia="宋体" w:cs="宋体"/>
                <w:bCs/>
              </w:rPr>
              <w:t>与环评一致</w:t>
            </w:r>
          </w:p>
        </w:tc>
        <w:tc>
          <w:tcPr>
            <w:tcW w:w="1270" w:type="dxa"/>
            <w:tcBorders>
              <w:top w:val="single" w:color="auto" w:sz="4" w:space="0"/>
              <w:left w:val="single" w:color="auto" w:sz="4" w:space="0"/>
              <w:bottom w:val="single" w:color="auto" w:sz="4" w:space="0"/>
              <w:right w:val="single" w:color="auto" w:sz="4" w:space="0"/>
            </w:tcBorders>
            <w:vAlign w:val="center"/>
          </w:tcPr>
          <w:p>
            <w:pPr>
              <w:pStyle w:val="112"/>
              <w:ind w:firstLine="0" w:firstLineChars="0"/>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left w:val="single" w:color="auto" w:sz="4" w:space="0"/>
              <w:right w:val="single" w:color="auto" w:sz="4" w:space="0"/>
            </w:tcBorders>
            <w:vAlign w:val="center"/>
          </w:tcPr>
          <w:p>
            <w:pPr>
              <w:pStyle w:val="112"/>
              <w:rPr>
                <w:rFonts w:hint="eastAsia" w:ascii="宋体" w:hAnsi="宋体" w:eastAsia="宋体" w:cs="宋体"/>
              </w:rPr>
            </w:pPr>
          </w:p>
        </w:tc>
        <w:tc>
          <w:tcPr>
            <w:tcW w:w="496" w:type="pct"/>
            <w:vMerge w:val="continue"/>
            <w:tcBorders>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1333" w:type="pct"/>
            <w:tcBorders>
              <w:top w:val="single" w:color="auto" w:sz="4" w:space="0"/>
              <w:left w:val="single" w:color="auto" w:sz="4" w:space="0"/>
              <w:bottom w:val="single" w:color="auto" w:sz="4" w:space="0"/>
              <w:right w:val="single" w:color="auto" w:sz="4" w:space="0"/>
            </w:tcBorders>
            <w:vAlign w:val="center"/>
          </w:tcPr>
          <w:p>
            <w:pPr>
              <w:spacing w:line="240" w:lineRule="atLeast"/>
              <w:ind w:left="0" w:leftChars="0" w:firstLine="0" w:firstLineChars="0"/>
              <w:jc w:val="both"/>
              <w:rPr>
                <w:rFonts w:hint="eastAsia" w:ascii="宋体" w:hAnsi="宋体" w:eastAsia="宋体" w:cs="宋体"/>
                <w:lang w:val="en-US" w:eastAsia="zh-CN"/>
              </w:rPr>
            </w:pPr>
            <w:r>
              <w:rPr>
                <w:rFonts w:hint="eastAsia" w:ascii="Times New Roman" w:hAnsi="Times New Roman" w:eastAsia="宋体" w:cs="Times New Roman"/>
                <w:color w:val="auto"/>
                <w:sz w:val="21"/>
                <w:szCs w:val="21"/>
                <w:lang w:val="en-US" w:eastAsia="zh-CN"/>
              </w:rPr>
              <w:t>更换除尘设施</w:t>
            </w:r>
          </w:p>
        </w:tc>
        <w:tc>
          <w:tcPr>
            <w:tcW w:w="904" w:type="pct"/>
            <w:tcBorders>
              <w:top w:val="single" w:color="auto" w:sz="4" w:space="0"/>
              <w:left w:val="single" w:color="auto" w:sz="4" w:space="0"/>
              <w:bottom w:val="single" w:color="auto" w:sz="4" w:space="0"/>
              <w:right w:val="single" w:color="auto" w:sz="4" w:space="0"/>
            </w:tcBorders>
            <w:vAlign w:val="center"/>
          </w:tcPr>
          <w:p>
            <w:pPr>
              <w:spacing w:line="240" w:lineRule="atLeast"/>
              <w:ind w:firstLine="420" w:firstLineChars="200"/>
              <w:jc w:val="center"/>
              <w:rPr>
                <w:rFonts w:hint="eastAsia" w:ascii="宋体" w:hAnsi="宋体" w:eastAsia="宋体" w:cs="宋体"/>
              </w:rPr>
            </w:pPr>
            <w:r>
              <w:rPr>
                <w:rFonts w:hint="eastAsia" w:ascii="Times New Roman" w:hAnsi="Times New Roman" w:cs="Times New Roman"/>
                <w:color w:val="auto"/>
                <w:sz w:val="21"/>
                <w:szCs w:val="21"/>
                <w:lang w:val="en-US" w:eastAsia="zh-CN"/>
              </w:rPr>
              <w:t>新增</w:t>
            </w:r>
          </w:p>
        </w:tc>
        <w:tc>
          <w:tcPr>
            <w:tcW w:w="1270" w:type="dxa"/>
            <w:tcBorders>
              <w:top w:val="single" w:color="auto" w:sz="4" w:space="0"/>
              <w:left w:val="single" w:color="auto" w:sz="4" w:space="0"/>
              <w:bottom w:val="single" w:color="auto" w:sz="4" w:space="0"/>
              <w:right w:val="single" w:color="auto" w:sz="4" w:space="0"/>
            </w:tcBorders>
            <w:vAlign w:val="center"/>
          </w:tcPr>
          <w:p>
            <w:pPr>
              <w:pStyle w:val="112"/>
              <w:ind w:firstLine="0" w:firstLineChars="0"/>
              <w:rPr>
                <w:rFonts w:hint="eastAsia" w:ascii="宋体" w:hAnsi="宋体" w:eastAsia="宋体" w:cs="宋体"/>
                <w:bCs/>
              </w:rPr>
            </w:pPr>
            <w:r>
              <w:rPr>
                <w:rFonts w:hint="eastAsia" w:ascii="宋体" w:hAnsi="宋体" w:eastAsia="宋体" w:cs="宋体"/>
                <w:bCs/>
              </w:rPr>
              <w:t>与环评一致</w:t>
            </w:r>
          </w:p>
        </w:tc>
        <w:tc>
          <w:tcPr>
            <w:tcW w:w="1270" w:type="dxa"/>
            <w:tcBorders>
              <w:top w:val="single" w:color="auto" w:sz="4" w:space="0"/>
              <w:left w:val="single" w:color="auto" w:sz="4" w:space="0"/>
              <w:bottom w:val="single" w:color="auto" w:sz="4" w:space="0"/>
              <w:right w:val="single" w:color="auto" w:sz="4" w:space="0"/>
            </w:tcBorders>
            <w:vAlign w:val="center"/>
          </w:tcPr>
          <w:p>
            <w:pPr>
              <w:pStyle w:val="112"/>
              <w:ind w:firstLine="0" w:firstLineChars="0"/>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496"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废水治理</w:t>
            </w:r>
          </w:p>
        </w:tc>
        <w:tc>
          <w:tcPr>
            <w:tcW w:w="1333"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①厂区生产废水主要为车辆及设备清洗废水，经沉淀池沉淀处理后循环利用不外排；②职工盥洗废水用于厂区泼洒抑尘，厂区设置防渗旱厕，旱厕定期清掏</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496"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噪声治理</w:t>
            </w:r>
          </w:p>
        </w:tc>
        <w:tc>
          <w:tcPr>
            <w:tcW w:w="1333"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选用低噪声设备，基础减振、厂房隔声</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350" w:type="pct"/>
            <w:vMerge w:val="continue"/>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p>
        </w:tc>
        <w:tc>
          <w:tcPr>
            <w:tcW w:w="496"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固废治理</w:t>
            </w:r>
          </w:p>
        </w:tc>
        <w:tc>
          <w:tcPr>
            <w:tcW w:w="1333" w:type="pct"/>
            <w:tcBorders>
              <w:top w:val="single" w:color="auto" w:sz="4" w:space="0"/>
              <w:left w:val="single" w:color="auto" w:sz="4" w:space="0"/>
              <w:bottom w:val="single" w:color="auto" w:sz="4" w:space="0"/>
              <w:right w:val="single" w:color="auto" w:sz="4" w:space="0"/>
            </w:tcBorders>
            <w:vAlign w:val="center"/>
          </w:tcPr>
          <w:p>
            <w:pPr>
              <w:pStyle w:val="112"/>
              <w:rPr>
                <w:rFonts w:hint="default" w:ascii="宋体" w:hAnsi="宋体" w:eastAsia="宋体" w:cs="宋体"/>
                <w:lang w:val="en-US" w:eastAsia="zh-CN"/>
              </w:rPr>
            </w:pPr>
            <w:r>
              <w:rPr>
                <w:rFonts w:hint="eastAsia" w:ascii="宋体" w:hAnsi="宋体" w:eastAsia="宋体" w:cs="宋体"/>
              </w:rPr>
              <w:t>①除尘器收集的粉尘回用于生产；②沉淀池沉淀砂石经收集后回用于生产；③废混凝土试块</w:t>
            </w:r>
            <w:r>
              <w:rPr>
                <w:rFonts w:hint="eastAsia" w:ascii="宋体" w:hAnsi="宋体" w:cs="宋体"/>
                <w:lang w:eastAsia="zh-CN"/>
              </w:rPr>
              <w:t>破碎后回用于生产</w:t>
            </w:r>
            <w:r>
              <w:rPr>
                <w:rFonts w:hint="eastAsia" w:ascii="宋体" w:hAnsi="宋体" w:eastAsia="宋体" w:cs="宋体"/>
              </w:rPr>
              <w:t>；④生活垃圾由环卫部门清运处理</w:t>
            </w:r>
            <w:r>
              <w:rPr>
                <w:rFonts w:hint="eastAsia" w:ascii="宋体" w:hAnsi="宋体" w:cs="宋体"/>
                <w:lang w:eastAsia="zh-CN"/>
              </w:rPr>
              <w:t>；</w:t>
            </w:r>
            <w:r>
              <w:rPr>
                <w:rFonts w:hint="eastAsia" w:ascii="宋体" w:hAnsi="宋体" w:cs="宋体"/>
                <w:lang w:val="en-US" w:eastAsia="zh-CN"/>
              </w:rPr>
              <w:t>⑤企业生产无危废产生，若生产产生危废合规暂存。</w:t>
            </w:r>
          </w:p>
        </w:tc>
        <w:tc>
          <w:tcPr>
            <w:tcW w:w="904"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rPr>
            </w:pPr>
            <w:r>
              <w:rPr>
                <w:rFonts w:hint="eastAsia" w:ascii="宋体" w:hAnsi="宋体" w:eastAsia="宋体" w:cs="宋体"/>
              </w:rPr>
              <w:t>/</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与环评一致</w:t>
            </w:r>
          </w:p>
        </w:tc>
        <w:tc>
          <w:tcPr>
            <w:tcW w:w="745" w:type="pct"/>
            <w:tcBorders>
              <w:top w:val="single" w:color="auto" w:sz="4" w:space="0"/>
              <w:left w:val="single" w:color="auto" w:sz="4" w:space="0"/>
              <w:bottom w:val="single" w:color="auto" w:sz="4" w:space="0"/>
              <w:right w:val="single" w:color="auto" w:sz="4" w:space="0"/>
            </w:tcBorders>
            <w:vAlign w:val="center"/>
          </w:tcPr>
          <w:p>
            <w:pPr>
              <w:pStyle w:val="112"/>
              <w:rPr>
                <w:rFonts w:hint="eastAsia" w:ascii="宋体" w:hAnsi="宋体" w:eastAsia="宋体" w:cs="宋体"/>
                <w:bCs/>
              </w:rPr>
            </w:pPr>
            <w:r>
              <w:rPr>
                <w:rFonts w:hint="eastAsia" w:ascii="宋体" w:hAnsi="宋体" w:eastAsia="宋体" w:cs="宋体"/>
                <w:bCs/>
              </w:rPr>
              <w:t>无变动</w:t>
            </w:r>
          </w:p>
        </w:tc>
      </w:tr>
      <w:bookmarkEnd w:id="15"/>
    </w:tbl>
    <w:p>
      <w:pPr>
        <w:pStyle w:val="6"/>
        <w:rPr>
          <w:rFonts w:hint="eastAsia" w:ascii="宋体" w:hAnsi="宋体" w:eastAsia="宋体" w:cs="宋体"/>
          <w:highlight w:val="red"/>
        </w:rPr>
      </w:pPr>
      <w:r>
        <w:rPr>
          <w:rFonts w:hint="eastAsia" w:ascii="宋体" w:hAnsi="宋体" w:eastAsia="宋体" w:cs="宋体"/>
          <w:highlight w:val="red"/>
        </w:rPr>
        <w:t>2.2.2主要生产设备</w:t>
      </w:r>
    </w:p>
    <w:p>
      <w:pPr>
        <w:ind w:firstLine="480"/>
        <w:rPr>
          <w:rFonts w:hint="eastAsia" w:ascii="宋体" w:hAnsi="宋体" w:eastAsia="宋体" w:cs="宋体"/>
          <w:szCs w:val="24"/>
        </w:rPr>
      </w:pPr>
      <w:r>
        <w:rPr>
          <w:rFonts w:hint="eastAsia" w:ascii="宋体" w:hAnsi="宋体" w:eastAsia="宋体" w:cs="宋体"/>
        </w:rPr>
        <w:t>项目主要生产设备见表2-2。</w:t>
      </w:r>
    </w:p>
    <w:p>
      <w:pPr>
        <w:pStyle w:val="110"/>
        <w:rPr>
          <w:rFonts w:hint="eastAsia" w:ascii="宋体" w:hAnsi="宋体" w:eastAsia="宋体" w:cs="宋体"/>
        </w:rPr>
      </w:pPr>
      <w:r>
        <w:rPr>
          <w:rFonts w:hint="eastAsia" w:ascii="宋体" w:hAnsi="宋体" w:eastAsia="宋体" w:cs="宋体"/>
        </w:rPr>
        <w:t>表2-2    本项目主要设备一览表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2232"/>
        <w:gridCol w:w="1053"/>
        <w:gridCol w:w="742"/>
        <w:gridCol w:w="774"/>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noWrap w:val="0"/>
            <w:vAlign w:val="center"/>
          </w:tcPr>
          <w:p>
            <w:pPr>
              <w:widowControl/>
              <w:ind w:left="0" w:leftChars="0" w:firstLine="0" w:firstLineChars="0"/>
              <w:jc w:val="center"/>
              <w:textAlignment w:val="center"/>
              <w:rPr>
                <w:rFonts w:hint="eastAsia" w:eastAsia="宋体"/>
                <w:color w:val="auto"/>
                <w:sz w:val="24"/>
                <w:lang w:eastAsia="zh-CN"/>
              </w:rPr>
            </w:pPr>
            <w:bookmarkStart w:id="16" w:name="_Toc30083312"/>
            <w:r>
              <w:rPr>
                <w:rFonts w:hint="eastAsia"/>
                <w:color w:val="auto"/>
                <w:kern w:val="0"/>
                <w:sz w:val="24"/>
                <w:lang w:val="en-US" w:eastAsia="zh-CN" w:bidi="ar"/>
              </w:rPr>
              <w:t>名称</w:t>
            </w:r>
          </w:p>
        </w:tc>
        <w:tc>
          <w:tcPr>
            <w:tcW w:w="2232" w:type="dxa"/>
            <w:noWrap w:val="0"/>
            <w:vAlign w:val="center"/>
          </w:tcPr>
          <w:p>
            <w:pPr>
              <w:widowControl/>
              <w:ind w:left="0" w:leftChars="0" w:firstLine="0" w:firstLineChars="0"/>
              <w:jc w:val="center"/>
              <w:textAlignment w:val="center"/>
              <w:rPr>
                <w:color w:val="auto"/>
                <w:sz w:val="24"/>
              </w:rPr>
            </w:pPr>
            <w:r>
              <w:rPr>
                <w:color w:val="auto"/>
                <w:kern w:val="0"/>
                <w:sz w:val="24"/>
                <w:lang w:bidi="ar"/>
              </w:rPr>
              <w:t>主要设备名称</w:t>
            </w:r>
          </w:p>
        </w:tc>
        <w:tc>
          <w:tcPr>
            <w:tcW w:w="1053" w:type="dxa"/>
            <w:noWrap w:val="0"/>
            <w:vAlign w:val="center"/>
          </w:tcPr>
          <w:p>
            <w:pPr>
              <w:widowControl/>
              <w:ind w:left="0" w:leftChars="0" w:firstLine="0" w:firstLineChars="0"/>
              <w:jc w:val="center"/>
              <w:textAlignment w:val="center"/>
              <w:rPr>
                <w:color w:val="auto"/>
                <w:sz w:val="24"/>
              </w:rPr>
            </w:pPr>
            <w:r>
              <w:rPr>
                <w:color w:val="auto"/>
                <w:kern w:val="0"/>
                <w:sz w:val="24"/>
                <w:lang w:bidi="ar"/>
              </w:rPr>
              <w:t>型号</w:t>
            </w:r>
          </w:p>
        </w:tc>
        <w:tc>
          <w:tcPr>
            <w:tcW w:w="742" w:type="dxa"/>
            <w:noWrap w:val="0"/>
            <w:vAlign w:val="center"/>
          </w:tcPr>
          <w:p>
            <w:pPr>
              <w:widowControl/>
              <w:ind w:left="0" w:leftChars="0" w:firstLine="0" w:firstLineChars="0"/>
              <w:jc w:val="center"/>
              <w:textAlignment w:val="center"/>
              <w:rPr>
                <w:color w:val="auto"/>
                <w:sz w:val="24"/>
              </w:rPr>
            </w:pPr>
            <w:r>
              <w:rPr>
                <w:color w:val="auto"/>
                <w:kern w:val="0"/>
                <w:sz w:val="24"/>
                <w:lang w:bidi="ar"/>
              </w:rPr>
              <w:t>单位</w:t>
            </w:r>
          </w:p>
        </w:tc>
        <w:tc>
          <w:tcPr>
            <w:tcW w:w="774" w:type="dxa"/>
            <w:noWrap w:val="0"/>
            <w:vAlign w:val="center"/>
          </w:tcPr>
          <w:p>
            <w:pPr>
              <w:widowControl/>
              <w:ind w:left="0" w:leftChars="0" w:firstLine="0" w:firstLineChars="0"/>
              <w:jc w:val="center"/>
              <w:textAlignment w:val="center"/>
              <w:rPr>
                <w:color w:val="auto"/>
                <w:sz w:val="24"/>
              </w:rPr>
            </w:pPr>
            <w:r>
              <w:rPr>
                <w:color w:val="auto"/>
                <w:kern w:val="0"/>
                <w:sz w:val="24"/>
                <w:lang w:bidi="ar"/>
              </w:rPr>
              <w:t>数量</w:t>
            </w:r>
          </w:p>
        </w:tc>
        <w:tc>
          <w:tcPr>
            <w:tcW w:w="1739" w:type="dxa"/>
            <w:noWrap w:val="0"/>
            <w:vAlign w:val="center"/>
          </w:tcPr>
          <w:p>
            <w:pPr>
              <w:widowControl/>
              <w:ind w:left="0" w:leftChars="0" w:firstLine="0" w:firstLineChars="0"/>
              <w:jc w:val="center"/>
              <w:textAlignment w:val="center"/>
              <w:rPr>
                <w:rFonts w:hint="eastAsia" w:eastAsia="宋体"/>
                <w:color w:val="auto"/>
                <w:kern w:val="0"/>
                <w:sz w:val="24"/>
                <w:lang w:val="en-US" w:eastAsia="zh-CN" w:bidi="ar"/>
              </w:rPr>
            </w:pPr>
            <w:r>
              <w:rPr>
                <w:rFonts w:hint="eastAsia"/>
                <w:color w:val="auto"/>
                <w:kern w:val="0"/>
                <w:sz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restart"/>
            <w:noWrap w:val="0"/>
            <w:vAlign w:val="center"/>
          </w:tcPr>
          <w:p>
            <w:pPr>
              <w:widowControl/>
              <w:ind w:left="0" w:leftChars="0" w:firstLine="0" w:firstLineChars="0"/>
              <w:jc w:val="center"/>
              <w:textAlignment w:val="center"/>
              <w:rPr>
                <w:color w:val="auto"/>
                <w:sz w:val="24"/>
              </w:rPr>
            </w:pPr>
            <w:r>
              <w:rPr>
                <w:rFonts w:hint="eastAsia"/>
                <w:color w:val="auto"/>
                <w:sz w:val="24"/>
              </w:rPr>
              <w:t>混凝土生产线</w:t>
            </w:r>
          </w:p>
        </w:tc>
        <w:tc>
          <w:tcPr>
            <w:tcW w:w="2232" w:type="dxa"/>
            <w:noWrap w:val="0"/>
            <w:vAlign w:val="center"/>
          </w:tcPr>
          <w:p>
            <w:pPr>
              <w:widowControl/>
              <w:ind w:left="0" w:leftChars="0" w:firstLine="0" w:firstLineChars="0"/>
              <w:jc w:val="center"/>
              <w:textAlignment w:val="center"/>
              <w:rPr>
                <w:rFonts w:hint="default" w:eastAsia="宋体"/>
                <w:color w:val="auto"/>
                <w:sz w:val="24"/>
                <w:lang w:val="en-US" w:eastAsia="zh-CN"/>
              </w:rPr>
            </w:pPr>
            <w:r>
              <w:rPr>
                <w:rFonts w:hint="eastAsia"/>
                <w:color w:val="auto"/>
                <w:sz w:val="24"/>
                <w:lang w:val="en-US" w:eastAsia="zh-CN"/>
              </w:rPr>
              <w:t>搅拌机</w:t>
            </w:r>
          </w:p>
        </w:tc>
        <w:tc>
          <w:tcPr>
            <w:tcW w:w="1053" w:type="dxa"/>
            <w:noWrap w:val="0"/>
            <w:vAlign w:val="center"/>
          </w:tcPr>
          <w:p>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HZS120</w:t>
            </w:r>
          </w:p>
        </w:tc>
        <w:tc>
          <w:tcPr>
            <w:tcW w:w="742" w:type="dxa"/>
            <w:noWrap w:val="0"/>
            <w:vAlign w:val="center"/>
          </w:tcPr>
          <w:p>
            <w:pPr>
              <w:widowControl/>
              <w:ind w:left="0" w:leftChars="0" w:firstLine="0" w:firstLineChars="0"/>
              <w:jc w:val="center"/>
              <w:textAlignment w:val="center"/>
              <w:rPr>
                <w:rFonts w:hint="eastAsia" w:eastAsia="宋体"/>
                <w:color w:val="auto"/>
                <w:sz w:val="24"/>
                <w:lang w:eastAsia="zh-CN"/>
              </w:rPr>
            </w:pPr>
            <w:r>
              <w:rPr>
                <w:rFonts w:hint="eastAsia"/>
                <w:color w:val="auto"/>
                <w:sz w:val="24"/>
                <w:lang w:val="en-US" w:eastAsia="zh-CN"/>
              </w:rPr>
              <w:t>台</w:t>
            </w:r>
          </w:p>
        </w:tc>
        <w:tc>
          <w:tcPr>
            <w:tcW w:w="774" w:type="dxa"/>
            <w:noWrap w:val="0"/>
            <w:vAlign w:val="center"/>
          </w:tcPr>
          <w:p>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1</w:t>
            </w:r>
          </w:p>
        </w:tc>
        <w:tc>
          <w:tcPr>
            <w:tcW w:w="1739" w:type="dxa"/>
            <w:noWrap w:val="0"/>
            <w:vAlign w:val="center"/>
          </w:tcPr>
          <w:p>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continue"/>
            <w:noWrap w:val="0"/>
            <w:vAlign w:val="center"/>
          </w:tcPr>
          <w:p>
            <w:pPr>
              <w:widowControl/>
              <w:jc w:val="center"/>
              <w:textAlignment w:val="center"/>
              <w:rPr>
                <w:rFonts w:hint="eastAsia"/>
                <w:color w:val="auto"/>
                <w:sz w:val="24"/>
              </w:rPr>
            </w:pPr>
          </w:p>
        </w:tc>
        <w:tc>
          <w:tcPr>
            <w:tcW w:w="223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搅拌机</w:t>
            </w:r>
          </w:p>
        </w:tc>
        <w:tc>
          <w:tcPr>
            <w:tcW w:w="1053"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HZS120</w:t>
            </w:r>
          </w:p>
        </w:tc>
        <w:tc>
          <w:tcPr>
            <w:tcW w:w="74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台</w:t>
            </w:r>
          </w:p>
        </w:tc>
        <w:tc>
          <w:tcPr>
            <w:tcW w:w="774"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1</w:t>
            </w:r>
          </w:p>
        </w:tc>
        <w:tc>
          <w:tcPr>
            <w:tcW w:w="1739"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32" w:type="dxa"/>
            <w:vMerge w:val="continue"/>
            <w:noWrap w:val="0"/>
            <w:vAlign w:val="center"/>
          </w:tcPr>
          <w:p>
            <w:pPr>
              <w:widowControl/>
              <w:jc w:val="center"/>
              <w:textAlignment w:val="center"/>
              <w:rPr>
                <w:rFonts w:hint="eastAsia" w:eastAsia="宋体"/>
                <w:color w:val="auto"/>
                <w:sz w:val="24"/>
                <w:lang w:eastAsia="zh-CN"/>
              </w:rPr>
            </w:pPr>
          </w:p>
        </w:tc>
        <w:tc>
          <w:tcPr>
            <w:tcW w:w="2232" w:type="dxa"/>
            <w:noWrap w:val="0"/>
            <w:vAlign w:val="center"/>
          </w:tcPr>
          <w:p>
            <w:pPr>
              <w:widowControl/>
              <w:ind w:left="0" w:leftChars="0" w:firstLine="0" w:firstLineChars="0"/>
              <w:jc w:val="center"/>
              <w:textAlignment w:val="center"/>
              <w:rPr>
                <w:rFonts w:hint="eastAsia" w:eastAsia="宋体"/>
                <w:color w:val="auto"/>
                <w:sz w:val="24"/>
                <w:lang w:eastAsia="zh-CN"/>
              </w:rPr>
            </w:pPr>
            <w:r>
              <w:rPr>
                <w:rFonts w:hint="eastAsia"/>
                <w:color w:val="auto"/>
                <w:sz w:val="24"/>
                <w:lang w:val="en-US" w:eastAsia="zh-CN"/>
              </w:rPr>
              <w:t>粉料罐</w:t>
            </w:r>
          </w:p>
        </w:tc>
        <w:tc>
          <w:tcPr>
            <w:tcW w:w="1053"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200t</w:t>
            </w:r>
          </w:p>
        </w:tc>
        <w:tc>
          <w:tcPr>
            <w:tcW w:w="74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座</w:t>
            </w:r>
          </w:p>
        </w:tc>
        <w:tc>
          <w:tcPr>
            <w:tcW w:w="774"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4</w:t>
            </w:r>
          </w:p>
        </w:tc>
        <w:tc>
          <w:tcPr>
            <w:tcW w:w="1739"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32" w:type="dxa"/>
            <w:vMerge w:val="continue"/>
            <w:noWrap w:val="0"/>
            <w:vAlign w:val="center"/>
          </w:tcPr>
          <w:p>
            <w:pPr>
              <w:widowControl/>
              <w:jc w:val="center"/>
              <w:textAlignment w:val="center"/>
              <w:rPr>
                <w:rFonts w:hint="eastAsia" w:eastAsia="宋体"/>
                <w:color w:val="auto"/>
                <w:sz w:val="24"/>
                <w:lang w:eastAsia="zh-CN"/>
              </w:rPr>
            </w:pPr>
          </w:p>
        </w:tc>
        <w:tc>
          <w:tcPr>
            <w:tcW w:w="223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粉料罐</w:t>
            </w:r>
          </w:p>
        </w:tc>
        <w:tc>
          <w:tcPr>
            <w:tcW w:w="1053"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200t</w:t>
            </w:r>
          </w:p>
        </w:tc>
        <w:tc>
          <w:tcPr>
            <w:tcW w:w="74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座</w:t>
            </w:r>
          </w:p>
        </w:tc>
        <w:tc>
          <w:tcPr>
            <w:tcW w:w="774"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4</w:t>
            </w:r>
          </w:p>
        </w:tc>
        <w:tc>
          <w:tcPr>
            <w:tcW w:w="1739" w:type="dxa"/>
            <w:noWrap w:val="0"/>
            <w:vAlign w:val="center"/>
          </w:tcPr>
          <w:p>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continue"/>
            <w:noWrap w:val="0"/>
            <w:vAlign w:val="center"/>
          </w:tcPr>
          <w:p>
            <w:pPr>
              <w:widowControl/>
              <w:jc w:val="center"/>
              <w:textAlignment w:val="center"/>
              <w:rPr>
                <w:rFonts w:hint="eastAsia" w:eastAsia="宋体"/>
                <w:color w:val="auto"/>
                <w:sz w:val="24"/>
                <w:lang w:eastAsia="zh-CN"/>
              </w:rPr>
            </w:pPr>
          </w:p>
        </w:tc>
        <w:tc>
          <w:tcPr>
            <w:tcW w:w="2232" w:type="dxa"/>
            <w:noWrap w:val="0"/>
            <w:vAlign w:val="center"/>
          </w:tcPr>
          <w:p>
            <w:pPr>
              <w:widowControl/>
              <w:ind w:left="0" w:leftChars="0" w:firstLine="0" w:firstLineChars="0"/>
              <w:jc w:val="center"/>
              <w:textAlignment w:val="center"/>
              <w:rPr>
                <w:rFonts w:hint="eastAsia" w:eastAsia="宋体"/>
                <w:color w:val="auto"/>
                <w:sz w:val="24"/>
                <w:lang w:eastAsia="zh-CN"/>
              </w:rPr>
            </w:pPr>
            <w:r>
              <w:rPr>
                <w:rFonts w:hint="eastAsia"/>
                <w:color w:val="auto"/>
                <w:sz w:val="24"/>
                <w:lang w:val="en-US" w:eastAsia="zh-CN"/>
              </w:rPr>
              <w:t>骨料仓</w:t>
            </w:r>
          </w:p>
        </w:tc>
        <w:tc>
          <w:tcPr>
            <w:tcW w:w="1053"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1500㎡</w:t>
            </w:r>
          </w:p>
        </w:tc>
        <w:tc>
          <w:tcPr>
            <w:tcW w:w="74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座</w:t>
            </w:r>
          </w:p>
        </w:tc>
        <w:tc>
          <w:tcPr>
            <w:tcW w:w="774"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2</w:t>
            </w:r>
          </w:p>
        </w:tc>
        <w:tc>
          <w:tcPr>
            <w:tcW w:w="1739"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continue"/>
            <w:noWrap w:val="0"/>
            <w:vAlign w:val="center"/>
          </w:tcPr>
          <w:p>
            <w:pPr>
              <w:widowControl/>
              <w:jc w:val="center"/>
              <w:textAlignment w:val="center"/>
              <w:rPr>
                <w:rFonts w:hint="eastAsia" w:eastAsia="宋体"/>
                <w:color w:val="auto"/>
                <w:sz w:val="24"/>
                <w:lang w:eastAsia="zh-CN"/>
              </w:rPr>
            </w:pPr>
          </w:p>
        </w:tc>
        <w:tc>
          <w:tcPr>
            <w:tcW w:w="2232" w:type="dxa"/>
            <w:noWrap w:val="0"/>
            <w:vAlign w:val="center"/>
          </w:tcPr>
          <w:p>
            <w:pPr>
              <w:widowControl/>
              <w:ind w:left="0" w:leftChars="0" w:firstLine="0" w:firstLineChars="0"/>
              <w:jc w:val="center"/>
              <w:textAlignment w:val="center"/>
              <w:rPr>
                <w:rFonts w:hint="default" w:eastAsia="宋体"/>
                <w:color w:val="auto"/>
                <w:sz w:val="24"/>
                <w:highlight w:val="none"/>
                <w:lang w:val="en-US" w:eastAsia="zh-CN"/>
              </w:rPr>
            </w:pPr>
            <w:r>
              <w:rPr>
                <w:rFonts w:hint="eastAsia"/>
                <w:color w:val="auto"/>
                <w:sz w:val="24"/>
                <w:highlight w:val="none"/>
                <w:lang w:val="en-US" w:eastAsia="zh-CN"/>
              </w:rPr>
              <w:t>生产蓄水池</w:t>
            </w:r>
          </w:p>
        </w:tc>
        <w:tc>
          <w:tcPr>
            <w:tcW w:w="1053" w:type="dxa"/>
            <w:noWrap w:val="0"/>
            <w:vAlign w:val="center"/>
          </w:tcPr>
          <w:p>
            <w:pPr>
              <w:widowControl/>
              <w:ind w:left="0" w:leftChars="0" w:firstLine="0" w:firstLineChars="0"/>
              <w:jc w:val="center"/>
              <w:textAlignment w:val="center"/>
              <w:rPr>
                <w:rFonts w:hint="default"/>
                <w:color w:val="auto"/>
                <w:kern w:val="2"/>
                <w:sz w:val="24"/>
                <w:szCs w:val="24"/>
                <w:highlight w:val="none"/>
                <w:lang w:val="en-US" w:eastAsia="zh-CN" w:bidi="ar-SA"/>
              </w:rPr>
            </w:pPr>
            <w:r>
              <w:rPr>
                <w:rFonts w:hint="eastAsia"/>
                <w:color w:val="auto"/>
                <w:kern w:val="2"/>
                <w:sz w:val="24"/>
                <w:szCs w:val="24"/>
                <w:highlight w:val="none"/>
                <w:lang w:val="en-US" w:eastAsia="zh-CN" w:bidi="ar-SA"/>
              </w:rPr>
              <w:t>/</w:t>
            </w:r>
          </w:p>
        </w:tc>
        <w:tc>
          <w:tcPr>
            <w:tcW w:w="742" w:type="dxa"/>
            <w:noWrap w:val="0"/>
            <w:vAlign w:val="center"/>
          </w:tcPr>
          <w:p>
            <w:pPr>
              <w:widowControl/>
              <w:ind w:left="0" w:leftChars="0" w:firstLine="0" w:firstLineChars="0"/>
              <w:jc w:val="center"/>
              <w:textAlignment w:val="center"/>
              <w:rPr>
                <w:rFonts w:hint="eastAsia"/>
                <w:color w:val="auto"/>
                <w:kern w:val="2"/>
                <w:sz w:val="24"/>
                <w:szCs w:val="24"/>
                <w:highlight w:val="none"/>
                <w:lang w:val="en-US" w:eastAsia="zh-CN" w:bidi="ar-SA"/>
              </w:rPr>
            </w:pPr>
            <w:r>
              <w:rPr>
                <w:rFonts w:hint="eastAsia"/>
                <w:color w:val="auto"/>
                <w:sz w:val="24"/>
                <w:highlight w:val="none"/>
                <w:lang w:val="en-US" w:eastAsia="zh-CN"/>
              </w:rPr>
              <w:t>个</w:t>
            </w:r>
          </w:p>
        </w:tc>
        <w:tc>
          <w:tcPr>
            <w:tcW w:w="774" w:type="dxa"/>
            <w:noWrap w:val="0"/>
            <w:vAlign w:val="center"/>
          </w:tcPr>
          <w:p>
            <w:pPr>
              <w:widowControl/>
              <w:ind w:left="0" w:leftChars="0" w:firstLine="0" w:firstLineChars="0"/>
              <w:jc w:val="center"/>
              <w:textAlignment w:val="center"/>
              <w:rPr>
                <w:rFonts w:hint="default"/>
                <w:color w:val="auto"/>
                <w:kern w:val="2"/>
                <w:sz w:val="24"/>
                <w:szCs w:val="24"/>
                <w:highlight w:val="none"/>
                <w:lang w:val="en-US" w:eastAsia="zh-CN" w:bidi="ar-SA"/>
              </w:rPr>
            </w:pPr>
            <w:r>
              <w:rPr>
                <w:rFonts w:hint="eastAsia"/>
                <w:color w:val="auto"/>
                <w:kern w:val="2"/>
                <w:sz w:val="24"/>
                <w:szCs w:val="24"/>
                <w:highlight w:val="none"/>
                <w:lang w:val="en-US" w:eastAsia="zh-CN" w:bidi="ar-SA"/>
              </w:rPr>
              <w:t>2</w:t>
            </w:r>
          </w:p>
        </w:tc>
        <w:tc>
          <w:tcPr>
            <w:tcW w:w="1739" w:type="dxa"/>
            <w:noWrap w:val="0"/>
            <w:vAlign w:val="center"/>
          </w:tcPr>
          <w:p>
            <w:pPr>
              <w:widowControl/>
              <w:ind w:left="0" w:leftChars="0" w:firstLine="0" w:firstLineChars="0"/>
              <w:jc w:val="center"/>
              <w:textAlignment w:val="center"/>
              <w:rPr>
                <w:rFonts w:hint="eastAsia"/>
                <w:color w:val="auto"/>
                <w:kern w:val="2"/>
                <w:sz w:val="24"/>
                <w:szCs w:val="24"/>
                <w:highlight w:val="none"/>
                <w:lang w:val="en-US" w:eastAsia="zh-CN" w:bidi="ar-SA"/>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continue"/>
            <w:noWrap w:val="0"/>
            <w:vAlign w:val="center"/>
          </w:tcPr>
          <w:p>
            <w:pPr>
              <w:widowControl/>
              <w:jc w:val="center"/>
              <w:textAlignment w:val="center"/>
              <w:rPr>
                <w:rFonts w:hint="eastAsia" w:eastAsia="宋体"/>
                <w:color w:val="auto"/>
                <w:sz w:val="24"/>
                <w:lang w:eastAsia="zh-CN"/>
              </w:rPr>
            </w:pPr>
          </w:p>
        </w:tc>
        <w:tc>
          <w:tcPr>
            <w:tcW w:w="2232" w:type="dxa"/>
            <w:noWrap w:val="0"/>
            <w:vAlign w:val="center"/>
          </w:tcPr>
          <w:p>
            <w:pPr>
              <w:widowControl/>
              <w:ind w:left="0" w:leftChars="0" w:firstLine="0" w:firstLineChars="0"/>
              <w:jc w:val="center"/>
              <w:textAlignment w:val="center"/>
              <w:rPr>
                <w:rFonts w:hint="default"/>
                <w:color w:val="auto"/>
                <w:sz w:val="24"/>
                <w:highlight w:val="none"/>
                <w:lang w:val="en-US" w:eastAsia="zh-CN"/>
              </w:rPr>
            </w:pPr>
            <w:r>
              <w:rPr>
                <w:rFonts w:hint="eastAsia"/>
                <w:color w:val="auto"/>
                <w:sz w:val="24"/>
                <w:highlight w:val="none"/>
                <w:lang w:val="en-US" w:eastAsia="zh-CN"/>
              </w:rPr>
              <w:t>搅拌机布袋除尘器</w:t>
            </w:r>
          </w:p>
        </w:tc>
        <w:tc>
          <w:tcPr>
            <w:tcW w:w="1053" w:type="dxa"/>
            <w:noWrap w:val="0"/>
            <w:vAlign w:val="center"/>
          </w:tcPr>
          <w:p>
            <w:pPr>
              <w:widowControl/>
              <w:ind w:left="0" w:leftChars="0" w:firstLine="0" w:firstLineChars="0"/>
              <w:jc w:val="center"/>
              <w:textAlignment w:val="center"/>
              <w:rPr>
                <w:rFonts w:hint="default"/>
                <w:color w:val="auto"/>
                <w:kern w:val="2"/>
                <w:sz w:val="24"/>
                <w:szCs w:val="24"/>
                <w:highlight w:val="none"/>
                <w:lang w:val="en-US" w:eastAsia="zh-CN" w:bidi="ar-SA"/>
              </w:rPr>
            </w:pPr>
            <w:r>
              <w:rPr>
                <w:rFonts w:hint="eastAsia"/>
                <w:color w:val="auto"/>
                <w:kern w:val="2"/>
                <w:sz w:val="24"/>
                <w:szCs w:val="24"/>
                <w:highlight w:val="none"/>
                <w:lang w:val="en-US" w:eastAsia="zh-CN" w:bidi="ar-SA"/>
              </w:rPr>
              <w:t>/</w:t>
            </w:r>
          </w:p>
        </w:tc>
        <w:tc>
          <w:tcPr>
            <w:tcW w:w="742" w:type="dxa"/>
            <w:noWrap w:val="0"/>
            <w:vAlign w:val="center"/>
          </w:tcPr>
          <w:p>
            <w:pPr>
              <w:widowControl/>
              <w:ind w:left="0" w:leftChars="0" w:firstLine="0" w:firstLineChars="0"/>
              <w:jc w:val="center"/>
              <w:textAlignment w:val="center"/>
              <w:rPr>
                <w:rFonts w:hint="default"/>
                <w:color w:val="auto"/>
                <w:sz w:val="24"/>
                <w:highlight w:val="none"/>
                <w:lang w:val="en-US" w:eastAsia="zh-CN"/>
              </w:rPr>
            </w:pPr>
            <w:r>
              <w:rPr>
                <w:rFonts w:hint="eastAsia"/>
                <w:color w:val="auto"/>
                <w:sz w:val="24"/>
                <w:highlight w:val="none"/>
                <w:lang w:val="en-US" w:eastAsia="zh-CN"/>
              </w:rPr>
              <w:t>套</w:t>
            </w:r>
          </w:p>
        </w:tc>
        <w:tc>
          <w:tcPr>
            <w:tcW w:w="774" w:type="dxa"/>
            <w:noWrap w:val="0"/>
            <w:vAlign w:val="center"/>
          </w:tcPr>
          <w:p>
            <w:pPr>
              <w:widowControl/>
              <w:ind w:left="0" w:leftChars="0" w:firstLine="0" w:firstLineChars="0"/>
              <w:jc w:val="center"/>
              <w:textAlignment w:val="center"/>
              <w:rPr>
                <w:rFonts w:hint="default"/>
                <w:color w:val="auto"/>
                <w:kern w:val="2"/>
                <w:sz w:val="24"/>
                <w:szCs w:val="24"/>
                <w:highlight w:val="none"/>
                <w:lang w:val="en-US" w:eastAsia="zh-CN" w:bidi="ar-SA"/>
              </w:rPr>
            </w:pPr>
            <w:r>
              <w:rPr>
                <w:rFonts w:hint="eastAsia"/>
                <w:color w:val="auto"/>
                <w:kern w:val="2"/>
                <w:sz w:val="24"/>
                <w:szCs w:val="24"/>
                <w:highlight w:val="none"/>
                <w:lang w:val="en-US" w:eastAsia="zh-CN" w:bidi="ar-SA"/>
              </w:rPr>
              <w:t>2</w:t>
            </w:r>
          </w:p>
        </w:tc>
        <w:tc>
          <w:tcPr>
            <w:tcW w:w="1739"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continue"/>
            <w:noWrap w:val="0"/>
            <w:vAlign w:val="center"/>
          </w:tcPr>
          <w:p>
            <w:pPr>
              <w:widowControl/>
              <w:jc w:val="center"/>
              <w:textAlignment w:val="center"/>
              <w:rPr>
                <w:rFonts w:hint="eastAsia" w:eastAsia="宋体"/>
                <w:color w:val="auto"/>
                <w:sz w:val="24"/>
                <w:lang w:eastAsia="zh-CN"/>
              </w:rPr>
            </w:pPr>
          </w:p>
        </w:tc>
        <w:tc>
          <w:tcPr>
            <w:tcW w:w="2232" w:type="dxa"/>
            <w:noWrap w:val="0"/>
            <w:vAlign w:val="center"/>
          </w:tcPr>
          <w:p>
            <w:pPr>
              <w:widowControl/>
              <w:ind w:left="0" w:leftChars="0" w:firstLine="0" w:firstLineChars="0"/>
              <w:jc w:val="center"/>
              <w:textAlignment w:val="center"/>
              <w:rPr>
                <w:rFonts w:hint="eastAsia"/>
                <w:color w:val="auto"/>
                <w:kern w:val="2"/>
                <w:sz w:val="24"/>
                <w:szCs w:val="24"/>
                <w:lang w:val="en-US" w:eastAsia="zh-CN" w:bidi="ar-SA"/>
              </w:rPr>
            </w:pPr>
            <w:r>
              <w:rPr>
                <w:rFonts w:hint="eastAsia"/>
                <w:color w:val="auto"/>
                <w:sz w:val="24"/>
                <w:lang w:val="en-US" w:eastAsia="zh-CN"/>
              </w:rPr>
              <w:t>仓顶布袋除尘器</w:t>
            </w:r>
          </w:p>
        </w:tc>
        <w:tc>
          <w:tcPr>
            <w:tcW w:w="1053" w:type="dxa"/>
            <w:noWrap w:val="0"/>
            <w:vAlign w:val="center"/>
          </w:tcPr>
          <w:p>
            <w:pPr>
              <w:widowControl/>
              <w:ind w:left="0" w:leftChars="0" w:firstLine="0" w:firstLineChars="0"/>
              <w:jc w:val="center"/>
              <w:textAlignment w:val="center"/>
              <w:rPr>
                <w:rFonts w:hint="default" w:eastAsia="宋体"/>
                <w:color w:val="auto"/>
                <w:kern w:val="2"/>
                <w:sz w:val="24"/>
                <w:szCs w:val="24"/>
                <w:lang w:val="en-US" w:eastAsia="zh-CN" w:bidi="ar-SA"/>
              </w:rPr>
            </w:pPr>
            <w:r>
              <w:rPr>
                <w:rFonts w:hint="eastAsia" w:eastAsia="宋体"/>
                <w:color w:val="auto"/>
                <w:kern w:val="2"/>
                <w:sz w:val="24"/>
                <w:szCs w:val="24"/>
                <w:lang w:val="en-US" w:eastAsia="zh-CN" w:bidi="ar-SA"/>
              </w:rPr>
              <w:t>--</w:t>
            </w:r>
          </w:p>
        </w:tc>
        <w:tc>
          <w:tcPr>
            <w:tcW w:w="742" w:type="dxa"/>
            <w:noWrap w:val="0"/>
            <w:vAlign w:val="center"/>
          </w:tcPr>
          <w:p>
            <w:pPr>
              <w:widowControl/>
              <w:ind w:left="0" w:leftChars="0" w:firstLine="0" w:firstLineChars="0"/>
              <w:jc w:val="center"/>
              <w:textAlignment w:val="center"/>
              <w:rPr>
                <w:rFonts w:hint="eastAsia" w:eastAsia="宋体"/>
                <w:color w:val="auto"/>
                <w:kern w:val="2"/>
                <w:sz w:val="24"/>
                <w:szCs w:val="24"/>
                <w:lang w:val="en-US" w:eastAsia="zh-CN" w:bidi="ar-SA"/>
              </w:rPr>
            </w:pPr>
            <w:r>
              <w:rPr>
                <w:rFonts w:hint="eastAsia"/>
                <w:color w:val="auto"/>
                <w:sz w:val="24"/>
                <w:lang w:eastAsia="zh-CN"/>
              </w:rPr>
              <w:t>套</w:t>
            </w:r>
          </w:p>
        </w:tc>
        <w:tc>
          <w:tcPr>
            <w:tcW w:w="774" w:type="dxa"/>
            <w:noWrap w:val="0"/>
            <w:vAlign w:val="center"/>
          </w:tcPr>
          <w:p>
            <w:pPr>
              <w:widowControl/>
              <w:ind w:left="0" w:leftChars="0" w:firstLine="0" w:firstLineChars="0"/>
              <w:jc w:val="center"/>
              <w:textAlignment w:val="center"/>
              <w:rPr>
                <w:rFonts w:hint="default" w:eastAsia="宋体"/>
                <w:color w:val="auto"/>
                <w:kern w:val="2"/>
                <w:sz w:val="24"/>
                <w:szCs w:val="24"/>
                <w:lang w:val="en-US" w:eastAsia="zh-CN" w:bidi="ar-SA"/>
              </w:rPr>
            </w:pPr>
            <w:r>
              <w:rPr>
                <w:rFonts w:hint="eastAsia" w:eastAsia="宋体"/>
                <w:color w:val="auto"/>
                <w:kern w:val="2"/>
                <w:sz w:val="24"/>
                <w:szCs w:val="24"/>
                <w:lang w:val="en-US" w:eastAsia="zh-CN" w:bidi="ar-SA"/>
              </w:rPr>
              <w:t>8</w:t>
            </w:r>
          </w:p>
        </w:tc>
        <w:tc>
          <w:tcPr>
            <w:tcW w:w="1739" w:type="dxa"/>
            <w:noWrap w:val="0"/>
            <w:vAlign w:val="center"/>
          </w:tcPr>
          <w:p>
            <w:pPr>
              <w:widowControl/>
              <w:ind w:left="0" w:leftChars="0" w:firstLine="0" w:firstLineChars="0"/>
              <w:jc w:val="center"/>
              <w:textAlignment w:val="center"/>
              <w:rPr>
                <w:rFonts w:hint="eastAsia" w:eastAsia="宋体"/>
                <w:color w:val="auto"/>
                <w:kern w:val="2"/>
                <w:sz w:val="24"/>
                <w:szCs w:val="24"/>
                <w:lang w:val="en-US" w:eastAsia="zh-CN" w:bidi="ar-SA"/>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continue"/>
            <w:noWrap w:val="0"/>
            <w:vAlign w:val="center"/>
          </w:tcPr>
          <w:p>
            <w:pPr>
              <w:widowControl/>
              <w:jc w:val="center"/>
              <w:textAlignment w:val="center"/>
              <w:rPr>
                <w:rFonts w:hint="default" w:eastAsia="宋体"/>
                <w:color w:val="auto"/>
                <w:kern w:val="0"/>
                <w:sz w:val="24"/>
                <w:lang w:val="en-US" w:eastAsia="zh-CN" w:bidi="ar"/>
              </w:rPr>
            </w:pPr>
          </w:p>
        </w:tc>
        <w:tc>
          <w:tcPr>
            <w:tcW w:w="2232" w:type="dxa"/>
            <w:noWrap w:val="0"/>
            <w:vAlign w:val="center"/>
          </w:tcPr>
          <w:p>
            <w:pPr>
              <w:widowControl/>
              <w:ind w:left="0" w:leftChars="0" w:firstLine="0" w:firstLineChars="0"/>
              <w:jc w:val="center"/>
              <w:textAlignment w:val="center"/>
              <w:rPr>
                <w:rFonts w:hint="default" w:eastAsia="宋体"/>
                <w:color w:val="auto"/>
                <w:sz w:val="24"/>
                <w:lang w:val="en-US" w:eastAsia="zh-CN"/>
              </w:rPr>
            </w:pPr>
            <w:r>
              <w:rPr>
                <w:rFonts w:hint="eastAsia"/>
                <w:color w:val="auto"/>
                <w:sz w:val="24"/>
                <w:lang w:val="en-US" w:eastAsia="zh-CN"/>
              </w:rPr>
              <w:t>砂石分离机</w:t>
            </w:r>
          </w:p>
        </w:tc>
        <w:tc>
          <w:tcPr>
            <w:tcW w:w="1053" w:type="dxa"/>
            <w:noWrap w:val="0"/>
            <w:vAlign w:val="center"/>
          </w:tcPr>
          <w:p>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w:t>
            </w:r>
          </w:p>
        </w:tc>
        <w:tc>
          <w:tcPr>
            <w:tcW w:w="742" w:type="dxa"/>
            <w:noWrap w:val="0"/>
            <w:vAlign w:val="center"/>
          </w:tcPr>
          <w:p>
            <w:pPr>
              <w:widowControl/>
              <w:ind w:left="0" w:leftChars="0" w:firstLine="0" w:firstLineChars="0"/>
              <w:jc w:val="center"/>
              <w:textAlignment w:val="center"/>
              <w:rPr>
                <w:color w:val="auto"/>
                <w:sz w:val="24"/>
              </w:rPr>
            </w:pPr>
            <w:r>
              <w:rPr>
                <w:rFonts w:hint="eastAsia"/>
                <w:color w:val="auto"/>
                <w:sz w:val="24"/>
                <w:lang w:eastAsia="zh-CN"/>
              </w:rPr>
              <w:t>套</w:t>
            </w:r>
          </w:p>
        </w:tc>
        <w:tc>
          <w:tcPr>
            <w:tcW w:w="774" w:type="dxa"/>
            <w:noWrap w:val="0"/>
            <w:vAlign w:val="center"/>
          </w:tcPr>
          <w:p>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1</w:t>
            </w:r>
          </w:p>
        </w:tc>
        <w:tc>
          <w:tcPr>
            <w:tcW w:w="1739"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continue"/>
            <w:noWrap w:val="0"/>
            <w:vAlign w:val="center"/>
          </w:tcPr>
          <w:p>
            <w:pPr>
              <w:widowControl/>
              <w:jc w:val="center"/>
              <w:textAlignment w:val="center"/>
              <w:rPr>
                <w:rFonts w:hint="default"/>
                <w:color w:val="auto"/>
                <w:kern w:val="0"/>
                <w:sz w:val="24"/>
                <w:lang w:val="en-US" w:eastAsia="zh-CN" w:bidi="ar"/>
              </w:rPr>
            </w:pPr>
          </w:p>
        </w:tc>
        <w:tc>
          <w:tcPr>
            <w:tcW w:w="2232" w:type="dxa"/>
            <w:noWrap w:val="0"/>
            <w:vAlign w:val="center"/>
          </w:tcPr>
          <w:p>
            <w:pPr>
              <w:widowControl/>
              <w:ind w:left="0" w:leftChars="0" w:firstLine="0" w:firstLineChars="0"/>
              <w:jc w:val="center"/>
              <w:textAlignment w:val="center"/>
              <w:rPr>
                <w:rFonts w:hint="eastAsia" w:eastAsia="宋体"/>
                <w:color w:val="auto"/>
                <w:sz w:val="24"/>
                <w:lang w:eastAsia="zh-CN"/>
              </w:rPr>
            </w:pPr>
            <w:r>
              <w:rPr>
                <w:rFonts w:hint="eastAsia"/>
                <w:color w:val="auto"/>
                <w:sz w:val="24"/>
                <w:lang w:eastAsia="zh-CN"/>
              </w:rPr>
              <w:t>混凝土罐车</w:t>
            </w:r>
          </w:p>
        </w:tc>
        <w:tc>
          <w:tcPr>
            <w:tcW w:w="1053" w:type="dxa"/>
            <w:noWrap w:val="0"/>
            <w:vAlign w:val="center"/>
          </w:tcPr>
          <w:p>
            <w:pPr>
              <w:widowControl/>
              <w:ind w:left="0" w:leftChars="0" w:firstLine="0" w:firstLineChars="0"/>
              <w:jc w:val="center"/>
              <w:textAlignment w:val="center"/>
              <w:rPr>
                <w:rFonts w:hint="default" w:eastAsia="宋体"/>
                <w:color w:val="auto"/>
                <w:sz w:val="24"/>
                <w:lang w:val="en-US" w:eastAsia="zh-CN"/>
              </w:rPr>
            </w:pPr>
            <w:r>
              <w:rPr>
                <w:rFonts w:hint="eastAsia"/>
                <w:color w:val="auto"/>
                <w:sz w:val="24"/>
                <w:lang w:val="en-US" w:eastAsia="zh-CN"/>
              </w:rPr>
              <w:t>15</w:t>
            </w:r>
            <w:r>
              <w:rPr>
                <w:rFonts w:hint="eastAsia"/>
                <w:color w:val="auto"/>
                <w:kern w:val="2"/>
                <w:sz w:val="24"/>
                <w:szCs w:val="24"/>
                <w:lang w:val="en-US" w:eastAsia="zh-CN" w:bidi="ar-SA"/>
              </w:rPr>
              <w:t>m</w:t>
            </w:r>
            <w:r>
              <w:rPr>
                <w:rFonts w:hint="eastAsia" w:ascii="宋体" w:hAnsi="宋体" w:eastAsia="宋体" w:cs="宋体"/>
                <w:color w:val="auto"/>
                <w:kern w:val="2"/>
                <w:sz w:val="24"/>
                <w:szCs w:val="24"/>
                <w:lang w:val="en-US" w:eastAsia="zh-CN" w:bidi="ar-SA"/>
              </w:rPr>
              <w:t>³</w:t>
            </w:r>
          </w:p>
        </w:tc>
        <w:tc>
          <w:tcPr>
            <w:tcW w:w="742" w:type="dxa"/>
            <w:noWrap w:val="0"/>
            <w:vAlign w:val="center"/>
          </w:tcPr>
          <w:p>
            <w:pPr>
              <w:widowControl/>
              <w:ind w:left="0" w:leftChars="0" w:firstLine="0" w:firstLineChars="0"/>
              <w:jc w:val="center"/>
              <w:textAlignment w:val="center"/>
              <w:rPr>
                <w:color w:val="auto"/>
                <w:sz w:val="24"/>
              </w:rPr>
            </w:pPr>
            <w:r>
              <w:rPr>
                <w:rFonts w:hint="eastAsia"/>
                <w:color w:val="auto"/>
                <w:sz w:val="24"/>
                <w:lang w:val="en-US" w:eastAsia="zh-CN"/>
              </w:rPr>
              <w:t>辆</w:t>
            </w:r>
          </w:p>
        </w:tc>
        <w:tc>
          <w:tcPr>
            <w:tcW w:w="774" w:type="dxa"/>
            <w:noWrap w:val="0"/>
            <w:vAlign w:val="center"/>
          </w:tcPr>
          <w:p>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10</w:t>
            </w:r>
          </w:p>
        </w:tc>
        <w:tc>
          <w:tcPr>
            <w:tcW w:w="1739"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32" w:type="dxa"/>
            <w:vMerge w:val="continue"/>
            <w:noWrap w:val="0"/>
            <w:vAlign w:val="center"/>
          </w:tcPr>
          <w:p>
            <w:pPr>
              <w:widowControl/>
              <w:jc w:val="center"/>
              <w:textAlignment w:val="center"/>
              <w:rPr>
                <w:rFonts w:hint="default"/>
                <w:color w:val="auto"/>
                <w:kern w:val="0"/>
                <w:sz w:val="24"/>
                <w:lang w:val="en-US" w:eastAsia="zh-CN" w:bidi="ar"/>
              </w:rPr>
            </w:pPr>
          </w:p>
        </w:tc>
        <w:tc>
          <w:tcPr>
            <w:tcW w:w="2232"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泵车</w:t>
            </w:r>
          </w:p>
        </w:tc>
        <w:tc>
          <w:tcPr>
            <w:tcW w:w="1053"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w:t>
            </w:r>
          </w:p>
        </w:tc>
        <w:tc>
          <w:tcPr>
            <w:tcW w:w="742"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辆</w:t>
            </w:r>
          </w:p>
        </w:tc>
        <w:tc>
          <w:tcPr>
            <w:tcW w:w="774" w:type="dxa"/>
            <w:noWrap w:val="0"/>
            <w:vAlign w:val="center"/>
          </w:tcPr>
          <w:p>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2</w:t>
            </w:r>
          </w:p>
        </w:tc>
        <w:tc>
          <w:tcPr>
            <w:tcW w:w="1739"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continue"/>
            <w:noWrap w:val="0"/>
            <w:vAlign w:val="center"/>
          </w:tcPr>
          <w:p>
            <w:pPr>
              <w:widowControl/>
              <w:jc w:val="center"/>
              <w:textAlignment w:val="center"/>
              <w:rPr>
                <w:rFonts w:hint="default"/>
                <w:color w:val="auto"/>
                <w:kern w:val="0"/>
                <w:sz w:val="24"/>
                <w:lang w:val="en-US" w:eastAsia="zh-CN" w:bidi="ar"/>
              </w:rPr>
            </w:pPr>
          </w:p>
        </w:tc>
        <w:tc>
          <w:tcPr>
            <w:tcW w:w="2232"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地磅</w:t>
            </w:r>
          </w:p>
        </w:tc>
        <w:tc>
          <w:tcPr>
            <w:tcW w:w="1053"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150吨</w:t>
            </w:r>
          </w:p>
        </w:tc>
        <w:tc>
          <w:tcPr>
            <w:tcW w:w="742"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套</w:t>
            </w:r>
          </w:p>
        </w:tc>
        <w:tc>
          <w:tcPr>
            <w:tcW w:w="774" w:type="dxa"/>
            <w:noWrap w:val="0"/>
            <w:vAlign w:val="center"/>
          </w:tcPr>
          <w:p>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1</w:t>
            </w:r>
          </w:p>
        </w:tc>
        <w:tc>
          <w:tcPr>
            <w:tcW w:w="1739"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restart"/>
            <w:noWrap w:val="0"/>
            <w:vAlign w:val="center"/>
          </w:tcPr>
          <w:p>
            <w:pPr>
              <w:widowControl/>
              <w:ind w:left="0" w:leftChars="0" w:firstLine="0" w:firstLineChars="0"/>
              <w:jc w:val="center"/>
              <w:textAlignment w:val="center"/>
              <w:rPr>
                <w:rFonts w:hint="default"/>
                <w:color w:val="auto"/>
                <w:kern w:val="0"/>
                <w:sz w:val="24"/>
                <w:lang w:val="en-US" w:eastAsia="zh-CN" w:bidi="ar"/>
              </w:rPr>
            </w:pPr>
            <w:r>
              <w:rPr>
                <w:rFonts w:hint="eastAsia"/>
                <w:color w:val="auto"/>
                <w:kern w:val="0"/>
                <w:sz w:val="24"/>
                <w:lang w:val="en-US" w:eastAsia="zh-CN" w:bidi="ar"/>
              </w:rPr>
              <w:t>预拌干粉砂浆生产线</w:t>
            </w:r>
          </w:p>
        </w:tc>
        <w:tc>
          <w:tcPr>
            <w:tcW w:w="2232"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干砂供给系统</w:t>
            </w:r>
          </w:p>
        </w:tc>
        <w:tc>
          <w:tcPr>
            <w:tcW w:w="1053"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w:t>
            </w:r>
          </w:p>
        </w:tc>
        <w:tc>
          <w:tcPr>
            <w:tcW w:w="74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套</w:t>
            </w:r>
          </w:p>
        </w:tc>
        <w:tc>
          <w:tcPr>
            <w:tcW w:w="774"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1</w:t>
            </w:r>
          </w:p>
        </w:tc>
        <w:tc>
          <w:tcPr>
            <w:tcW w:w="1739"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continue"/>
            <w:noWrap w:val="0"/>
            <w:vAlign w:val="center"/>
          </w:tcPr>
          <w:p>
            <w:pPr>
              <w:widowControl/>
              <w:jc w:val="center"/>
              <w:textAlignment w:val="center"/>
              <w:rPr>
                <w:rFonts w:hint="eastAsia"/>
                <w:color w:val="auto"/>
                <w:kern w:val="0"/>
                <w:sz w:val="24"/>
                <w:lang w:val="en-US" w:eastAsia="zh-CN" w:bidi="ar"/>
              </w:rPr>
            </w:pPr>
          </w:p>
        </w:tc>
        <w:tc>
          <w:tcPr>
            <w:tcW w:w="223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粉料罐</w:t>
            </w:r>
          </w:p>
        </w:tc>
        <w:tc>
          <w:tcPr>
            <w:tcW w:w="1053"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200t</w:t>
            </w:r>
          </w:p>
        </w:tc>
        <w:tc>
          <w:tcPr>
            <w:tcW w:w="74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座</w:t>
            </w:r>
          </w:p>
        </w:tc>
        <w:tc>
          <w:tcPr>
            <w:tcW w:w="774"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color w:val="auto"/>
                <w:sz w:val="24"/>
                <w:lang w:val="en-US" w:eastAsia="zh-CN"/>
              </w:rPr>
              <w:t>3</w:t>
            </w:r>
          </w:p>
        </w:tc>
        <w:tc>
          <w:tcPr>
            <w:tcW w:w="1739"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continue"/>
            <w:noWrap w:val="0"/>
            <w:vAlign w:val="center"/>
          </w:tcPr>
          <w:p>
            <w:pPr>
              <w:widowControl/>
              <w:jc w:val="center"/>
              <w:textAlignment w:val="center"/>
              <w:rPr>
                <w:rFonts w:hint="eastAsia"/>
                <w:color w:val="auto"/>
                <w:kern w:val="0"/>
                <w:sz w:val="24"/>
                <w:lang w:val="en-US" w:eastAsia="zh-CN" w:bidi="ar"/>
              </w:rPr>
            </w:pPr>
          </w:p>
        </w:tc>
        <w:tc>
          <w:tcPr>
            <w:tcW w:w="2232"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储料罐</w:t>
            </w:r>
          </w:p>
        </w:tc>
        <w:tc>
          <w:tcPr>
            <w:tcW w:w="1053"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200t</w:t>
            </w:r>
          </w:p>
        </w:tc>
        <w:tc>
          <w:tcPr>
            <w:tcW w:w="74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座</w:t>
            </w:r>
          </w:p>
        </w:tc>
        <w:tc>
          <w:tcPr>
            <w:tcW w:w="774"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2</w:t>
            </w:r>
          </w:p>
        </w:tc>
        <w:tc>
          <w:tcPr>
            <w:tcW w:w="1739"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continue"/>
            <w:noWrap w:val="0"/>
            <w:vAlign w:val="center"/>
          </w:tcPr>
          <w:p>
            <w:pPr>
              <w:widowControl/>
              <w:jc w:val="center"/>
              <w:textAlignment w:val="center"/>
              <w:rPr>
                <w:rFonts w:hint="default"/>
                <w:color w:val="auto"/>
                <w:kern w:val="0"/>
                <w:sz w:val="24"/>
                <w:lang w:val="en-US" w:eastAsia="zh-CN" w:bidi="ar"/>
              </w:rPr>
            </w:pPr>
          </w:p>
        </w:tc>
        <w:tc>
          <w:tcPr>
            <w:tcW w:w="223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val="en-US" w:eastAsia="zh-CN"/>
              </w:rPr>
              <w:t>仓顶布袋除尘器</w:t>
            </w:r>
          </w:p>
        </w:tc>
        <w:tc>
          <w:tcPr>
            <w:tcW w:w="1053"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eastAsia="宋体"/>
                <w:color w:val="auto"/>
                <w:kern w:val="2"/>
                <w:sz w:val="24"/>
                <w:szCs w:val="24"/>
                <w:lang w:val="en-US" w:eastAsia="zh-CN" w:bidi="ar-SA"/>
              </w:rPr>
              <w:t>--</w:t>
            </w:r>
          </w:p>
        </w:tc>
        <w:tc>
          <w:tcPr>
            <w:tcW w:w="74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eastAsia="zh-CN"/>
              </w:rPr>
              <w:t>套</w:t>
            </w:r>
          </w:p>
        </w:tc>
        <w:tc>
          <w:tcPr>
            <w:tcW w:w="774"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kern w:val="2"/>
                <w:sz w:val="24"/>
                <w:szCs w:val="24"/>
                <w:lang w:val="en-US" w:eastAsia="zh-CN" w:bidi="ar-SA"/>
              </w:rPr>
              <w:t>2</w:t>
            </w:r>
          </w:p>
        </w:tc>
        <w:tc>
          <w:tcPr>
            <w:tcW w:w="1739" w:type="dxa"/>
            <w:noWrap w:val="0"/>
            <w:vAlign w:val="center"/>
          </w:tcPr>
          <w:p>
            <w:pPr>
              <w:widowControl/>
              <w:ind w:left="0" w:leftChars="0" w:firstLine="0" w:firstLineChars="0"/>
              <w:jc w:val="center"/>
              <w:textAlignment w:val="center"/>
              <w:rPr>
                <w:rFonts w:hint="default" w:eastAsia="宋体"/>
                <w:color w:val="auto"/>
                <w:sz w:val="24"/>
                <w:lang w:val="en-US" w:eastAsia="zh-CN"/>
              </w:rPr>
            </w:pPr>
            <w:r>
              <w:rPr>
                <w:rFonts w:hint="eastAsia" w:eastAsia="宋体"/>
                <w:color w:val="auto"/>
                <w:sz w:val="24"/>
                <w:lang w:val="en-US" w:eastAsia="zh-CN"/>
              </w:rPr>
              <w:t>利旧,每3座粉料罐仓顶呼吸口通过管道连接后共用一台除尘器。2座储料罐仓顶呼吸口通过管道连接后共用一台除尘器。</w:t>
            </w:r>
            <w:r>
              <w:rPr>
                <w:rFonts w:hint="eastAsia" w:ascii="Times New Roman" w:hAnsi="Times New Roman" w:cs="Times New Roman"/>
                <w:i w:val="0"/>
                <w:color w:val="auto"/>
                <w:kern w:val="0"/>
                <w:sz w:val="24"/>
                <w:szCs w:val="24"/>
                <w:u w:val="none"/>
                <w:lang w:val="en-US" w:eastAsia="zh-CN" w:bidi="ar"/>
              </w:rPr>
              <w:t>呼吸粉尘经除尘器处理后通过不低于15m高排气筒排放。共设置两台除尘器。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continue"/>
            <w:noWrap w:val="0"/>
            <w:vAlign w:val="center"/>
          </w:tcPr>
          <w:p>
            <w:pPr>
              <w:widowControl/>
              <w:jc w:val="center"/>
              <w:textAlignment w:val="center"/>
              <w:rPr>
                <w:rFonts w:hint="default"/>
                <w:color w:val="auto"/>
                <w:kern w:val="0"/>
                <w:sz w:val="24"/>
                <w:lang w:val="en-US" w:eastAsia="zh-CN" w:bidi="ar"/>
              </w:rPr>
            </w:pPr>
          </w:p>
        </w:tc>
        <w:tc>
          <w:tcPr>
            <w:tcW w:w="2232"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供料系统</w:t>
            </w:r>
          </w:p>
        </w:tc>
        <w:tc>
          <w:tcPr>
            <w:tcW w:w="1053"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eastAsia="宋体"/>
                <w:color w:val="auto"/>
                <w:kern w:val="2"/>
                <w:sz w:val="24"/>
                <w:szCs w:val="24"/>
                <w:lang w:val="en-US" w:eastAsia="zh-CN" w:bidi="ar-SA"/>
              </w:rPr>
              <w:t>--</w:t>
            </w:r>
          </w:p>
        </w:tc>
        <w:tc>
          <w:tcPr>
            <w:tcW w:w="74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eastAsia="zh-CN"/>
              </w:rPr>
              <w:t>套</w:t>
            </w:r>
          </w:p>
        </w:tc>
        <w:tc>
          <w:tcPr>
            <w:tcW w:w="774"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kern w:val="2"/>
                <w:sz w:val="24"/>
                <w:szCs w:val="24"/>
                <w:lang w:val="en-US" w:eastAsia="zh-CN" w:bidi="ar-SA"/>
              </w:rPr>
              <w:t>1</w:t>
            </w:r>
          </w:p>
        </w:tc>
        <w:tc>
          <w:tcPr>
            <w:tcW w:w="1739"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2" w:type="dxa"/>
            <w:vMerge w:val="continue"/>
            <w:noWrap w:val="0"/>
            <w:vAlign w:val="center"/>
          </w:tcPr>
          <w:p>
            <w:pPr>
              <w:widowControl/>
              <w:jc w:val="center"/>
              <w:textAlignment w:val="center"/>
              <w:rPr>
                <w:rFonts w:hint="default"/>
                <w:color w:val="auto"/>
                <w:kern w:val="0"/>
                <w:sz w:val="24"/>
                <w:lang w:val="en-US" w:eastAsia="zh-CN" w:bidi="ar"/>
              </w:rPr>
            </w:pPr>
          </w:p>
        </w:tc>
        <w:tc>
          <w:tcPr>
            <w:tcW w:w="2232" w:type="dxa"/>
            <w:noWrap w:val="0"/>
            <w:vAlign w:val="center"/>
          </w:tcPr>
          <w:p>
            <w:pPr>
              <w:widowControl/>
              <w:ind w:left="0" w:leftChars="0" w:firstLine="0" w:firstLineChars="0"/>
              <w:jc w:val="center"/>
              <w:textAlignment w:val="center"/>
              <w:rPr>
                <w:rFonts w:hint="default"/>
                <w:color w:val="auto"/>
                <w:sz w:val="24"/>
                <w:lang w:val="en-US" w:eastAsia="zh-CN"/>
              </w:rPr>
            </w:pPr>
            <w:r>
              <w:rPr>
                <w:rFonts w:hint="eastAsia"/>
                <w:color w:val="auto"/>
                <w:sz w:val="24"/>
                <w:lang w:val="en-US" w:eastAsia="zh-CN"/>
              </w:rPr>
              <w:t>计量系统</w:t>
            </w:r>
          </w:p>
        </w:tc>
        <w:tc>
          <w:tcPr>
            <w:tcW w:w="1053"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eastAsia="宋体"/>
                <w:color w:val="auto"/>
                <w:kern w:val="2"/>
                <w:sz w:val="24"/>
                <w:szCs w:val="24"/>
                <w:lang w:val="en-US" w:eastAsia="zh-CN" w:bidi="ar-SA"/>
              </w:rPr>
              <w:t>--</w:t>
            </w:r>
          </w:p>
        </w:tc>
        <w:tc>
          <w:tcPr>
            <w:tcW w:w="742" w:type="dxa"/>
            <w:noWrap w:val="0"/>
            <w:vAlign w:val="center"/>
          </w:tcPr>
          <w:p>
            <w:pPr>
              <w:widowControl/>
              <w:ind w:left="0" w:leftChars="0" w:firstLine="0" w:firstLineChars="0"/>
              <w:jc w:val="center"/>
              <w:textAlignment w:val="center"/>
              <w:rPr>
                <w:rFonts w:hint="eastAsia"/>
                <w:color w:val="auto"/>
                <w:sz w:val="24"/>
                <w:lang w:val="en-US" w:eastAsia="zh-CN"/>
              </w:rPr>
            </w:pPr>
            <w:r>
              <w:rPr>
                <w:rFonts w:hint="eastAsia"/>
                <w:color w:val="auto"/>
                <w:sz w:val="24"/>
                <w:lang w:eastAsia="zh-CN"/>
              </w:rPr>
              <w:t>套</w:t>
            </w:r>
          </w:p>
        </w:tc>
        <w:tc>
          <w:tcPr>
            <w:tcW w:w="774"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kern w:val="2"/>
                <w:sz w:val="24"/>
                <w:szCs w:val="24"/>
                <w:lang w:val="en-US" w:eastAsia="zh-CN" w:bidi="ar-SA"/>
              </w:rPr>
              <w:t>4</w:t>
            </w:r>
          </w:p>
        </w:tc>
        <w:tc>
          <w:tcPr>
            <w:tcW w:w="1739" w:type="dxa"/>
            <w:noWrap w:val="0"/>
            <w:vAlign w:val="center"/>
          </w:tcPr>
          <w:p>
            <w:pPr>
              <w:widowControl/>
              <w:ind w:left="0" w:leftChars="0" w:firstLine="0" w:firstLineChars="0"/>
              <w:jc w:val="center"/>
              <w:textAlignment w:val="center"/>
              <w:rPr>
                <w:rFonts w:hint="eastAsia" w:eastAsia="宋体"/>
                <w:color w:val="auto"/>
                <w:sz w:val="24"/>
                <w:lang w:val="en-US" w:eastAsia="zh-CN"/>
              </w:rPr>
            </w:pPr>
            <w:r>
              <w:rPr>
                <w:rFonts w:hint="eastAsia" w:eastAsia="宋体"/>
                <w:color w:val="auto"/>
                <w:sz w:val="24"/>
                <w:lang w:val="en-US" w:eastAsia="zh-CN"/>
              </w:rPr>
              <w:t>利旧</w:t>
            </w:r>
          </w:p>
        </w:tc>
      </w:tr>
    </w:tbl>
    <w:p>
      <w:pPr>
        <w:pStyle w:val="6"/>
        <w:rPr>
          <w:rFonts w:hint="eastAsia" w:ascii="宋体" w:hAnsi="宋体" w:eastAsia="宋体" w:cs="宋体"/>
        </w:rPr>
      </w:pPr>
      <w:r>
        <w:rPr>
          <w:rFonts w:hint="eastAsia" w:ascii="宋体" w:hAnsi="宋体" w:eastAsia="宋体" w:cs="宋体"/>
        </w:rPr>
        <w:t>2.2.3主要原辅材料及能源消耗</w:t>
      </w:r>
    </w:p>
    <w:p>
      <w:pPr>
        <w:ind w:firstLine="480"/>
        <w:rPr>
          <w:rFonts w:hint="eastAsia" w:ascii="宋体" w:hAnsi="宋体" w:eastAsia="宋体" w:cs="宋体"/>
        </w:rPr>
      </w:pPr>
      <w:r>
        <w:rPr>
          <w:rFonts w:hint="eastAsia" w:ascii="宋体" w:hAnsi="宋体" w:eastAsia="宋体" w:cs="宋体"/>
        </w:rPr>
        <w:t>工程原辅材料及能源消耗一览表见表2-3。</w:t>
      </w:r>
    </w:p>
    <w:p>
      <w:pPr>
        <w:pStyle w:val="110"/>
        <w:rPr>
          <w:rFonts w:hint="eastAsia" w:ascii="宋体" w:hAnsi="宋体" w:eastAsia="宋体" w:cs="宋体"/>
        </w:rPr>
      </w:pPr>
      <w:r>
        <w:rPr>
          <w:rFonts w:hint="eastAsia" w:ascii="宋体" w:hAnsi="宋体" w:eastAsia="宋体" w:cs="宋体"/>
        </w:rPr>
        <w:t>表2-3  原有工程主要原辅材料消耗一览表</w:t>
      </w:r>
    </w:p>
    <w:tbl>
      <w:tblPr>
        <w:tblStyle w:val="35"/>
        <w:tblW w:w="80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60"/>
        <w:gridCol w:w="1966"/>
        <w:gridCol w:w="2358"/>
        <w:gridCol w:w="1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rPr>
            </w:pPr>
            <w:bookmarkStart w:id="17" w:name="_Toc11021"/>
            <w:r>
              <w:rPr>
                <w:rFonts w:hint="default" w:ascii="Times New Roman" w:hAnsi="Times New Roman" w:eastAsia="宋体" w:cs="Times New Roman"/>
                <w:color w:val="auto"/>
                <w:kern w:val="0"/>
                <w:szCs w:val="21"/>
              </w:rPr>
              <w:t>序号</w:t>
            </w:r>
          </w:p>
        </w:tc>
        <w:tc>
          <w:tcPr>
            <w:tcW w:w="1260" w:type="dxa"/>
            <w:noWrap w:val="0"/>
            <w:vAlign w:val="center"/>
          </w:tcPr>
          <w:p>
            <w:pPr>
              <w:topLinePunct/>
              <w:adjustRightInd w:val="0"/>
              <w:snapToGrid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分类</w:t>
            </w:r>
          </w:p>
        </w:tc>
        <w:tc>
          <w:tcPr>
            <w:tcW w:w="1966"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名称</w:t>
            </w:r>
          </w:p>
        </w:tc>
        <w:tc>
          <w:tcPr>
            <w:tcW w:w="2358"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用量（t/a）</w:t>
            </w:r>
          </w:p>
        </w:tc>
        <w:tc>
          <w:tcPr>
            <w:tcW w:w="1779"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75"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w:t>
            </w:r>
          </w:p>
        </w:tc>
        <w:tc>
          <w:tcPr>
            <w:tcW w:w="1260" w:type="dxa"/>
            <w:vMerge w:val="restart"/>
            <w:noWrap w:val="0"/>
            <w:vAlign w:val="center"/>
          </w:tcPr>
          <w:p>
            <w:pPr>
              <w:topLinePunct/>
              <w:adjustRightInd w:val="0"/>
              <w:snapToGrid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原辅材料</w:t>
            </w:r>
          </w:p>
        </w:tc>
        <w:tc>
          <w:tcPr>
            <w:tcW w:w="1966" w:type="dxa"/>
            <w:noWrap w:val="0"/>
            <w:vAlign w:val="center"/>
          </w:tcPr>
          <w:p>
            <w:pPr>
              <w:topLinePunct/>
              <w:adjustRightInd w:val="0"/>
              <w:snapToGrid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水泥</w:t>
            </w:r>
          </w:p>
        </w:tc>
        <w:tc>
          <w:tcPr>
            <w:tcW w:w="2358"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65000</w:t>
            </w:r>
          </w:p>
        </w:tc>
        <w:tc>
          <w:tcPr>
            <w:tcW w:w="1779"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大同云岗水泥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75"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2</w:t>
            </w:r>
          </w:p>
        </w:tc>
        <w:tc>
          <w:tcPr>
            <w:tcW w:w="1260" w:type="dxa"/>
            <w:vMerge w:val="continue"/>
            <w:noWrap w:val="0"/>
            <w:vAlign w:val="center"/>
          </w:tcPr>
          <w:p>
            <w:pPr>
              <w:topLinePunct/>
              <w:adjustRightInd w:val="0"/>
              <w:snapToGrid w:val="0"/>
              <w:jc w:val="center"/>
              <w:rPr>
                <w:rFonts w:hint="default" w:ascii="Times New Roman" w:hAnsi="Times New Roman" w:eastAsia="宋体" w:cs="Times New Roman"/>
                <w:color w:val="auto"/>
                <w:kern w:val="0"/>
                <w:szCs w:val="21"/>
              </w:rPr>
            </w:pPr>
          </w:p>
        </w:tc>
        <w:tc>
          <w:tcPr>
            <w:tcW w:w="1966"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石子</w:t>
            </w:r>
          </w:p>
        </w:tc>
        <w:tc>
          <w:tcPr>
            <w:tcW w:w="2358"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60000</w:t>
            </w:r>
          </w:p>
        </w:tc>
        <w:tc>
          <w:tcPr>
            <w:tcW w:w="1779"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附近采石场、市场采购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75"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lang w:val="en-US" w:eastAsia="zh-CN"/>
              </w:rPr>
              <w:t>3</w:t>
            </w:r>
          </w:p>
        </w:tc>
        <w:tc>
          <w:tcPr>
            <w:tcW w:w="1260" w:type="dxa"/>
            <w:vMerge w:val="continue"/>
            <w:noWrap w:val="0"/>
            <w:vAlign w:val="center"/>
          </w:tcPr>
          <w:p>
            <w:pPr>
              <w:topLinePunct/>
              <w:adjustRightInd w:val="0"/>
              <w:snapToGrid w:val="0"/>
              <w:jc w:val="center"/>
              <w:rPr>
                <w:rFonts w:hint="eastAsia" w:ascii="Times New Roman" w:hAnsi="Times New Roman" w:eastAsia="宋体" w:cs="Times New Roman"/>
                <w:color w:val="auto"/>
                <w:kern w:val="0"/>
                <w:szCs w:val="21"/>
                <w:lang w:val="en-US" w:eastAsia="zh-CN"/>
              </w:rPr>
            </w:pPr>
          </w:p>
        </w:tc>
        <w:tc>
          <w:tcPr>
            <w:tcW w:w="1966"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黄沙</w:t>
            </w:r>
          </w:p>
        </w:tc>
        <w:tc>
          <w:tcPr>
            <w:tcW w:w="2358"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350000</w:t>
            </w:r>
          </w:p>
        </w:tc>
        <w:tc>
          <w:tcPr>
            <w:tcW w:w="1779"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市场采购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75"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w:t>
            </w:r>
          </w:p>
        </w:tc>
        <w:tc>
          <w:tcPr>
            <w:tcW w:w="1260" w:type="dxa"/>
            <w:vMerge w:val="continue"/>
            <w:noWrap w:val="0"/>
            <w:vAlign w:val="center"/>
          </w:tcPr>
          <w:p>
            <w:pPr>
              <w:topLinePunct/>
              <w:adjustRightInd w:val="0"/>
              <w:snapToGrid w:val="0"/>
              <w:jc w:val="center"/>
              <w:rPr>
                <w:rFonts w:hint="eastAsia" w:ascii="Times New Roman" w:hAnsi="Times New Roman" w:eastAsia="宋体" w:cs="Times New Roman"/>
                <w:color w:val="auto"/>
                <w:kern w:val="0"/>
                <w:szCs w:val="21"/>
                <w:lang w:val="en-US" w:eastAsia="zh-CN"/>
              </w:rPr>
            </w:pPr>
          </w:p>
        </w:tc>
        <w:tc>
          <w:tcPr>
            <w:tcW w:w="1966"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粉煤灰</w:t>
            </w:r>
          </w:p>
        </w:tc>
        <w:tc>
          <w:tcPr>
            <w:tcW w:w="2358"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18000</w:t>
            </w:r>
          </w:p>
        </w:tc>
        <w:tc>
          <w:tcPr>
            <w:tcW w:w="1779"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市场采购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75"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w:t>
            </w:r>
          </w:p>
        </w:tc>
        <w:tc>
          <w:tcPr>
            <w:tcW w:w="1260" w:type="dxa"/>
            <w:vMerge w:val="continue"/>
            <w:noWrap w:val="0"/>
            <w:vAlign w:val="center"/>
          </w:tcPr>
          <w:p>
            <w:pPr>
              <w:topLinePunct/>
              <w:adjustRightInd w:val="0"/>
              <w:snapToGrid w:val="0"/>
              <w:jc w:val="center"/>
              <w:rPr>
                <w:rFonts w:hint="eastAsia" w:ascii="Times New Roman" w:hAnsi="Times New Roman" w:eastAsia="宋体" w:cs="Times New Roman"/>
                <w:color w:val="auto"/>
                <w:kern w:val="0"/>
                <w:szCs w:val="21"/>
                <w:lang w:val="en-US" w:eastAsia="zh-CN"/>
              </w:rPr>
            </w:pPr>
          </w:p>
        </w:tc>
        <w:tc>
          <w:tcPr>
            <w:tcW w:w="1966"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矿粉</w:t>
            </w:r>
          </w:p>
        </w:tc>
        <w:tc>
          <w:tcPr>
            <w:tcW w:w="2358"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4800</w:t>
            </w:r>
          </w:p>
        </w:tc>
        <w:tc>
          <w:tcPr>
            <w:tcW w:w="1779"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市场采购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75"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w:t>
            </w:r>
          </w:p>
        </w:tc>
        <w:tc>
          <w:tcPr>
            <w:tcW w:w="1260" w:type="dxa"/>
            <w:vMerge w:val="continue"/>
            <w:noWrap w:val="0"/>
            <w:vAlign w:val="center"/>
          </w:tcPr>
          <w:p>
            <w:pPr>
              <w:topLinePunct/>
              <w:adjustRightInd w:val="0"/>
              <w:snapToGrid w:val="0"/>
              <w:jc w:val="center"/>
              <w:rPr>
                <w:rFonts w:hint="eastAsia" w:ascii="Times New Roman" w:hAnsi="Times New Roman" w:eastAsia="宋体" w:cs="Times New Roman"/>
                <w:color w:val="auto"/>
                <w:kern w:val="0"/>
                <w:szCs w:val="21"/>
                <w:lang w:val="en-US" w:eastAsia="zh-CN"/>
              </w:rPr>
            </w:pPr>
          </w:p>
        </w:tc>
        <w:tc>
          <w:tcPr>
            <w:tcW w:w="1966"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外加剂</w:t>
            </w:r>
          </w:p>
        </w:tc>
        <w:tc>
          <w:tcPr>
            <w:tcW w:w="2358"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600</w:t>
            </w:r>
          </w:p>
        </w:tc>
        <w:tc>
          <w:tcPr>
            <w:tcW w:w="1779"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市场采购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5"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w:t>
            </w:r>
          </w:p>
        </w:tc>
        <w:tc>
          <w:tcPr>
            <w:tcW w:w="1260" w:type="dxa"/>
            <w:vMerge w:val="restart"/>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能源消耗</w:t>
            </w:r>
          </w:p>
        </w:tc>
        <w:tc>
          <w:tcPr>
            <w:tcW w:w="1966"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水</w:t>
            </w:r>
          </w:p>
        </w:tc>
        <w:tc>
          <w:tcPr>
            <w:tcW w:w="2358"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1.74万m³/a</w:t>
            </w:r>
          </w:p>
        </w:tc>
        <w:tc>
          <w:tcPr>
            <w:tcW w:w="1779"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自备井提供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75"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8</w:t>
            </w:r>
          </w:p>
        </w:tc>
        <w:tc>
          <w:tcPr>
            <w:tcW w:w="1260" w:type="dxa"/>
            <w:vMerge w:val="continue"/>
            <w:noWrap w:val="0"/>
            <w:vAlign w:val="center"/>
          </w:tcPr>
          <w:p>
            <w:pPr>
              <w:topLinePunct/>
              <w:adjustRightInd w:val="0"/>
              <w:snapToGrid w:val="0"/>
              <w:jc w:val="center"/>
              <w:rPr>
                <w:rFonts w:hint="eastAsia" w:ascii="Times New Roman" w:hAnsi="Times New Roman" w:eastAsia="宋体" w:cs="Times New Roman"/>
                <w:color w:val="auto"/>
                <w:kern w:val="0"/>
                <w:szCs w:val="21"/>
                <w:lang w:val="en-US" w:eastAsia="zh-CN"/>
              </w:rPr>
            </w:pPr>
          </w:p>
        </w:tc>
        <w:tc>
          <w:tcPr>
            <w:tcW w:w="1966"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电</w:t>
            </w:r>
          </w:p>
        </w:tc>
        <w:tc>
          <w:tcPr>
            <w:tcW w:w="2358"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90万kWh</w:t>
            </w:r>
          </w:p>
        </w:tc>
        <w:tc>
          <w:tcPr>
            <w:tcW w:w="1779" w:type="dxa"/>
            <w:noWrap w:val="0"/>
            <w:vAlign w:val="center"/>
          </w:tcPr>
          <w:p>
            <w:pPr>
              <w:topLinePunct/>
              <w:adjustRightInd w:val="0"/>
              <w:snapToGrid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市政供电</w:t>
            </w:r>
          </w:p>
        </w:tc>
      </w:tr>
    </w:tbl>
    <w:p>
      <w:pPr>
        <w:pStyle w:val="5"/>
        <w:rPr>
          <w:rFonts w:hint="eastAsia" w:ascii="宋体" w:hAnsi="宋体" w:eastAsia="宋体" w:cs="宋体"/>
        </w:rPr>
      </w:pPr>
      <w:r>
        <w:rPr>
          <w:rFonts w:hint="eastAsia" w:ascii="宋体" w:hAnsi="宋体" w:eastAsia="宋体" w:cs="宋体"/>
        </w:rPr>
        <w:t>2.3</w:t>
      </w:r>
      <w:bookmarkEnd w:id="16"/>
      <w:r>
        <w:rPr>
          <w:rFonts w:hint="eastAsia" w:ascii="宋体" w:hAnsi="宋体" w:eastAsia="宋体" w:cs="宋体"/>
        </w:rPr>
        <w:t>工艺流程</w:t>
      </w:r>
      <w:bookmarkEnd w:id="17"/>
    </w:p>
    <w:p>
      <w:pPr>
        <w:ind w:firstLine="480"/>
        <w:rPr>
          <w:rFonts w:hint="eastAsia" w:ascii="宋体" w:hAnsi="宋体" w:eastAsia="宋体" w:cs="宋体"/>
        </w:rPr>
      </w:pPr>
      <w:r>
        <w:rPr>
          <w:rFonts w:hint="eastAsia" w:ascii="宋体" w:hAnsi="宋体" w:eastAsia="宋体" w:cs="宋体"/>
        </w:rPr>
        <w:t>本项目运营期生产工艺流程如下：</w:t>
      </w:r>
    </w:p>
    <w:p>
      <w:pPr>
        <w:spacing w:line="240" w:lineRule="auto"/>
        <w:ind w:firstLine="0" w:firstLineChars="0"/>
        <w:jc w:val="center"/>
        <w:rPr>
          <w:rFonts w:hint="eastAsia" w:ascii="宋体" w:hAnsi="宋体" w:eastAsia="宋体" w:cs="宋体"/>
          <w:color w:val="000000"/>
          <w:szCs w:val="24"/>
        </w:rPr>
      </w:pPr>
      <w:r>
        <w:rPr>
          <w:rFonts w:hint="eastAsia" w:ascii="宋体" w:hAnsi="宋体" w:eastAsia="宋体" w:cs="宋体"/>
          <w:color w:val="000000"/>
          <w:szCs w:val="24"/>
        </w:rPr>
        <w:object>
          <v:shape id="_x0000_i1025" o:spt="75" type="#_x0000_t75" style="height:238.55pt;width:393.2pt;" o:ole="t" filled="f" o:preferrelative="t" stroked="f" coordsize="21600,21600">
            <v:path/>
            <v:fill on="f" focussize="0,0"/>
            <v:stroke on="f" joinstyle="miter"/>
            <v:imagedata r:id="rId20" o:title=""/>
            <o:lock v:ext="edit" aspectratio="t"/>
            <w10:wrap type="none"/>
            <w10:anchorlock/>
          </v:shape>
          <o:OLEObject Type="Embed" ProgID="Visio.Drawing.15" ShapeID="_x0000_i1025" DrawAspect="Content" ObjectID="_1468075725" r:id="rId19">
            <o:LockedField>false</o:LockedField>
          </o:OLEObject>
        </w:object>
      </w:r>
    </w:p>
    <w:p>
      <w:pPr>
        <w:spacing w:line="240" w:lineRule="auto"/>
        <w:ind w:firstLine="0" w:firstLineChars="0"/>
        <w:jc w:val="center"/>
        <w:rPr>
          <w:rFonts w:hint="eastAsia" w:ascii="宋体" w:hAnsi="宋体" w:eastAsia="宋体" w:cs="宋体"/>
          <w:b/>
          <w:bCs/>
          <w:color w:val="000000"/>
          <w:szCs w:val="24"/>
        </w:rPr>
      </w:pPr>
      <w:r>
        <w:rPr>
          <w:rFonts w:hint="eastAsia" w:ascii="宋体" w:hAnsi="宋体" w:eastAsia="宋体" w:cs="宋体"/>
          <w:color w:val="000000"/>
          <w:szCs w:val="24"/>
        </w:rPr>
        <w:t>图例：G废气，W废水，S固体废物，N噪声</w:t>
      </w:r>
    </w:p>
    <w:p>
      <w:pPr>
        <w:pStyle w:val="110"/>
        <w:rPr>
          <w:rFonts w:hint="eastAsia" w:ascii="宋体" w:hAnsi="宋体" w:eastAsia="宋体" w:cs="宋体"/>
        </w:rPr>
      </w:pPr>
      <w:r>
        <w:rPr>
          <w:rFonts w:hint="eastAsia" w:ascii="宋体" w:hAnsi="宋体" w:eastAsia="宋体" w:cs="宋体"/>
        </w:rPr>
        <w:t>图2-1工艺流程及排污节点图</w:t>
      </w:r>
    </w:p>
    <w:p>
      <w:pPr>
        <w:ind w:firstLine="480"/>
        <w:rPr>
          <w:rFonts w:hint="eastAsia" w:ascii="宋体" w:hAnsi="宋体" w:eastAsia="宋体" w:cs="宋体"/>
        </w:rPr>
      </w:pPr>
      <w:r>
        <w:rPr>
          <w:rFonts w:hint="eastAsia" w:ascii="宋体" w:hAnsi="宋体" w:eastAsia="宋体" w:cs="宋体"/>
        </w:rPr>
        <w:t>工艺说明：</w:t>
      </w:r>
    </w:p>
    <w:p>
      <w:pPr>
        <w:ind w:firstLine="480"/>
        <w:rPr>
          <w:rFonts w:hint="eastAsia" w:ascii="宋体" w:hAnsi="宋体" w:eastAsia="宋体" w:cs="宋体"/>
          <w:bCs/>
        </w:rPr>
      </w:pPr>
      <w:r>
        <w:rPr>
          <w:rFonts w:hint="eastAsia" w:ascii="宋体" w:hAnsi="宋体" w:eastAsia="宋体" w:cs="宋体"/>
          <w:bCs/>
        </w:rPr>
        <w:t>（1）原料的运输与储存</w:t>
      </w:r>
    </w:p>
    <w:p>
      <w:pPr>
        <w:ind w:firstLine="480"/>
        <w:rPr>
          <w:rFonts w:hint="eastAsia" w:ascii="宋体" w:hAnsi="宋体" w:eastAsia="宋体" w:cs="宋体"/>
        </w:rPr>
      </w:pPr>
      <w:r>
        <w:rPr>
          <w:rFonts w:hint="eastAsia" w:ascii="宋体" w:hAnsi="宋体" w:eastAsia="宋体" w:cs="宋体"/>
          <w:bCs/>
        </w:rPr>
        <w:t>生产</w:t>
      </w:r>
      <w:r>
        <w:rPr>
          <w:rFonts w:hint="eastAsia" w:ascii="宋体" w:hAnsi="宋体" w:eastAsia="宋体" w:cs="宋体"/>
        </w:rPr>
        <w:t>所用石子、砂子、水泥、粉煤灰及外加剂均为外购，汽车运输至本厂区，</w:t>
      </w:r>
      <w:r>
        <w:rPr>
          <w:rFonts w:hint="eastAsia" w:ascii="宋体" w:hAnsi="宋体" w:eastAsia="宋体" w:cs="宋体"/>
          <w:b/>
        </w:rPr>
        <w:t>石子、砂子由汽车运至厂区原料库储存，此过程产生粉尘G1</w:t>
      </w:r>
      <w:r>
        <w:rPr>
          <w:rFonts w:hint="eastAsia" w:ascii="宋体" w:hAnsi="宋体" w:eastAsia="宋体" w:cs="宋体"/>
        </w:rPr>
        <w:t>。水泥、粉煤灰分别存放于水泥、粉煤灰筒仓，外加剂进罐储存。</w:t>
      </w:r>
      <w:r>
        <w:rPr>
          <w:rFonts w:hint="eastAsia" w:ascii="宋体" w:hAnsi="宋体" w:eastAsia="宋体" w:cs="宋体"/>
          <w:b/>
          <w:bCs/>
        </w:rPr>
        <w:t>此过程产生的主要污染物为粉煤灰与水泥筒仓呼吸粉尘G2、G3及设备除尘器收集粉尘S1。</w:t>
      </w:r>
    </w:p>
    <w:p>
      <w:pPr>
        <w:ind w:firstLine="480"/>
        <w:rPr>
          <w:rFonts w:hint="eastAsia" w:ascii="宋体" w:hAnsi="宋体" w:eastAsia="宋体" w:cs="宋体"/>
        </w:rPr>
      </w:pPr>
      <w:r>
        <w:rPr>
          <w:rFonts w:hint="eastAsia" w:ascii="宋体" w:hAnsi="宋体" w:eastAsia="宋体" w:cs="宋体"/>
        </w:rPr>
        <w:t>（2）配料</w:t>
      </w:r>
    </w:p>
    <w:p>
      <w:pPr>
        <w:ind w:firstLine="480"/>
        <w:rPr>
          <w:rFonts w:hint="eastAsia" w:ascii="宋体" w:hAnsi="宋体" w:eastAsia="宋体" w:cs="宋体"/>
          <w:b/>
          <w:bCs/>
        </w:rPr>
      </w:pPr>
      <w:r>
        <w:rPr>
          <w:rFonts w:hint="eastAsia" w:ascii="宋体" w:hAnsi="宋体" w:eastAsia="宋体" w:cs="宋体"/>
        </w:rPr>
        <w:t>砂子、碎石从堆料场运至储料斗，储料斗下部设置闭合电控装置，根据配料比例将砂子、碎石卸入下部的皮带输送机，经皮带送至配料斗，通过链条提升装置将其导入搅拌机，同时，通过自动控制设备将水泥、粉煤灰、外加剂和水泵送至搅拌机内。</w:t>
      </w:r>
      <w:r>
        <w:rPr>
          <w:rFonts w:hint="eastAsia" w:ascii="宋体" w:hAnsi="宋体" w:eastAsia="宋体" w:cs="宋体"/>
          <w:b/>
          <w:bCs/>
        </w:rPr>
        <w:t>此过程产生的主要污染物为配料粉尘G5及设备运行噪声N。</w:t>
      </w:r>
    </w:p>
    <w:p>
      <w:pPr>
        <w:ind w:firstLine="480"/>
        <w:rPr>
          <w:rFonts w:hint="eastAsia" w:ascii="宋体" w:hAnsi="宋体" w:eastAsia="宋体" w:cs="宋体"/>
        </w:rPr>
      </w:pPr>
      <w:r>
        <w:rPr>
          <w:rFonts w:hint="eastAsia" w:ascii="宋体" w:hAnsi="宋体" w:eastAsia="宋体" w:cs="宋体"/>
        </w:rPr>
        <w:t>（3）搅拌、卸料</w:t>
      </w:r>
    </w:p>
    <w:p>
      <w:pPr>
        <w:ind w:firstLine="480"/>
        <w:rPr>
          <w:rFonts w:hint="eastAsia" w:ascii="宋体" w:hAnsi="宋体" w:eastAsia="宋体" w:cs="宋体"/>
          <w:b/>
          <w:bCs/>
        </w:rPr>
      </w:pPr>
      <w:r>
        <w:rPr>
          <w:rFonts w:hint="eastAsia" w:ascii="宋体" w:hAnsi="宋体" w:eastAsia="宋体" w:cs="宋体"/>
        </w:rPr>
        <w:t>原料送至搅拌机后，搅拌主机不断旋转，使原料均匀混合得到混凝土产品，搅拌完成后将产品卸入下方的混凝土搅拌车内，再进行设备清洗。</w:t>
      </w:r>
      <w:r>
        <w:rPr>
          <w:rFonts w:hint="eastAsia" w:ascii="宋体" w:hAnsi="宋体" w:eastAsia="宋体" w:cs="宋体"/>
          <w:b/>
          <w:bCs/>
        </w:rPr>
        <w:t>此过程产生的主要污染物为搅拌粉尘G6、设备清洗废水W1、除尘器收集粉尘S1、沉淀泥渣S2以及设备运行噪声N。</w:t>
      </w:r>
    </w:p>
    <w:p>
      <w:pPr>
        <w:ind w:firstLine="480"/>
        <w:rPr>
          <w:rFonts w:hint="eastAsia" w:ascii="宋体" w:hAnsi="宋体" w:eastAsia="宋体" w:cs="宋体"/>
        </w:rPr>
      </w:pPr>
      <w:r>
        <w:rPr>
          <w:rFonts w:hint="eastAsia" w:ascii="宋体" w:hAnsi="宋体" w:eastAsia="宋体" w:cs="宋体"/>
        </w:rPr>
        <w:t>（4）混凝土试验</w:t>
      </w:r>
    </w:p>
    <w:p>
      <w:pPr>
        <w:ind w:firstLine="480"/>
        <w:rPr>
          <w:rFonts w:hint="eastAsia" w:ascii="宋体" w:hAnsi="宋体" w:eastAsia="宋体" w:cs="宋体"/>
        </w:rPr>
      </w:pPr>
      <w:r>
        <w:rPr>
          <w:rFonts w:hint="eastAsia" w:ascii="宋体" w:hAnsi="宋体" w:eastAsia="宋体" w:cs="宋体"/>
        </w:rPr>
        <w:t>本项目实验室仅进行简单的配合比实验和成品抽样检测实验，均为物理实验，不涉及化学品的使用。</w:t>
      </w:r>
      <w:r>
        <w:rPr>
          <w:rFonts w:hint="eastAsia" w:ascii="宋体" w:hAnsi="宋体" w:eastAsia="宋体" w:cs="宋体"/>
          <w:b/>
        </w:rPr>
        <w:t>此过程会产生废混凝土试块S3。</w:t>
      </w:r>
    </w:p>
    <w:p>
      <w:pPr>
        <w:ind w:firstLine="480"/>
        <w:rPr>
          <w:rFonts w:hint="eastAsia" w:ascii="宋体" w:hAnsi="宋体" w:eastAsia="宋体" w:cs="宋体"/>
        </w:rPr>
      </w:pPr>
      <w:r>
        <w:rPr>
          <w:rFonts w:hint="eastAsia" w:ascii="宋体" w:hAnsi="宋体" w:eastAsia="宋体" w:cs="宋体"/>
        </w:rPr>
        <w:t>（5）混凝土运输</w:t>
      </w:r>
    </w:p>
    <w:p>
      <w:pPr>
        <w:ind w:firstLine="480"/>
        <w:rPr>
          <w:rFonts w:hint="eastAsia" w:ascii="宋体" w:hAnsi="宋体" w:eastAsia="宋体" w:cs="宋体"/>
          <w:b/>
          <w:bCs/>
        </w:rPr>
      </w:pPr>
      <w:r>
        <w:rPr>
          <w:rFonts w:hint="eastAsia" w:ascii="宋体" w:hAnsi="宋体" w:eastAsia="宋体" w:cs="宋体"/>
        </w:rPr>
        <w:t>混凝土搅拌车将产品送至订购单位处（为了防止混凝土凝结，罐体不断旋转），回厂后罐车需进行清洗。</w:t>
      </w:r>
      <w:r>
        <w:rPr>
          <w:rFonts w:hint="eastAsia" w:ascii="宋体" w:hAnsi="宋体" w:eastAsia="宋体" w:cs="宋体"/>
          <w:b/>
          <w:bCs/>
        </w:rPr>
        <w:t>此过程产生的主要污染物为车辆清洗废水W2、车辆运输噪声N以及运输车辆扬尘G7。</w:t>
      </w:r>
    </w:p>
    <w:p>
      <w:pPr>
        <w:pStyle w:val="110"/>
        <w:rPr>
          <w:rFonts w:hint="eastAsia" w:ascii="宋体" w:hAnsi="宋体" w:eastAsia="宋体" w:cs="宋体"/>
        </w:rPr>
      </w:pPr>
      <w:r>
        <w:rPr>
          <w:rFonts w:hint="eastAsia" w:ascii="宋体" w:hAnsi="宋体" w:eastAsia="宋体" w:cs="宋体"/>
        </w:rPr>
        <w:t>表2-3  技改项目建成后全厂主要产排污节点一览表</w:t>
      </w:r>
    </w:p>
    <w:tbl>
      <w:tblPr>
        <w:tblStyle w:val="36"/>
        <w:tblW w:w="49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176"/>
        <w:gridCol w:w="1611"/>
        <w:gridCol w:w="1238"/>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45"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bookmarkStart w:id="18" w:name="_Toc8999868"/>
            <w:bookmarkStart w:id="19" w:name="_Toc2233"/>
            <w:bookmarkStart w:id="20" w:name="_Toc30083309"/>
            <w:bookmarkStart w:id="21" w:name="_Toc30083315"/>
            <w:bookmarkStart w:id="22" w:name="_Toc531099399"/>
            <w:bookmarkStart w:id="23" w:name="_Toc524632949"/>
            <w:r>
              <w:rPr>
                <w:rFonts w:hint="eastAsia" w:ascii="Times New Roman" w:hAnsi="Times New Roman" w:eastAsia="宋体" w:cs="Times New Roman"/>
                <w:i w:val="0"/>
                <w:color w:val="auto"/>
                <w:kern w:val="0"/>
                <w:sz w:val="21"/>
                <w:szCs w:val="21"/>
                <w:u w:val="none"/>
                <w:lang w:val="en-US" w:eastAsia="zh-CN" w:bidi="ar"/>
              </w:rPr>
              <w:t>类别</w:t>
            </w:r>
          </w:p>
        </w:tc>
        <w:tc>
          <w:tcPr>
            <w:tcW w:w="2074"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产生节点</w:t>
            </w:r>
          </w:p>
        </w:tc>
        <w:tc>
          <w:tcPr>
            <w:tcW w:w="1535"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污染物</w:t>
            </w:r>
          </w:p>
        </w:tc>
        <w:tc>
          <w:tcPr>
            <w:tcW w:w="1180"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产生特征</w:t>
            </w:r>
          </w:p>
        </w:tc>
        <w:tc>
          <w:tcPr>
            <w:tcW w:w="2545"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采取的措施及去向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45" w:type="dxa"/>
            <w:vMerge w:val="restart"/>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废</w:t>
            </w:r>
            <w:r>
              <w:rPr>
                <w:rFonts w:hint="eastAsia" w:ascii="Times New Roman" w:hAnsi="Times New Roman" w:cs="Times New Roman"/>
                <w:i w:val="0"/>
                <w:color w:val="auto"/>
                <w:kern w:val="0"/>
                <w:sz w:val="21"/>
                <w:szCs w:val="21"/>
                <w:u w:val="none"/>
                <w:lang w:val="en-US" w:eastAsia="zh-CN" w:bidi="ar"/>
              </w:rPr>
              <w:t>气</w:t>
            </w:r>
          </w:p>
        </w:tc>
        <w:tc>
          <w:tcPr>
            <w:tcW w:w="2074"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混凝土生产筒仓呼吸</w:t>
            </w:r>
          </w:p>
        </w:tc>
        <w:tc>
          <w:tcPr>
            <w:tcW w:w="153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颗粒物</w:t>
            </w:r>
          </w:p>
        </w:tc>
        <w:tc>
          <w:tcPr>
            <w:tcW w:w="1180"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间断</w:t>
            </w:r>
          </w:p>
        </w:tc>
        <w:tc>
          <w:tcPr>
            <w:tcW w:w="2545"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分别通过仓顶配套除尘器处理后排放口高度不低于15米排放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45" w:type="dxa"/>
            <w:vMerge w:val="continue"/>
            <w:noWrap w:val="0"/>
            <w:vAlign w:val="center"/>
          </w:tcPr>
          <w:p>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p>
        </w:tc>
        <w:tc>
          <w:tcPr>
            <w:tcW w:w="2074"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预拌干粉砂浆筒仓呼吸</w:t>
            </w:r>
          </w:p>
        </w:tc>
        <w:tc>
          <w:tcPr>
            <w:tcW w:w="153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auto"/>
                <w:sz w:val="21"/>
                <w:szCs w:val="21"/>
                <w:lang w:val="en-US" w:eastAsia="zh-CN"/>
              </w:rPr>
            </w:pPr>
          </w:p>
        </w:tc>
        <w:tc>
          <w:tcPr>
            <w:tcW w:w="1180"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间断</w:t>
            </w:r>
          </w:p>
        </w:tc>
        <w:tc>
          <w:tcPr>
            <w:tcW w:w="2545"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每3座粉料罐仓顶呼吸口通过管道连接后共用一台除尘器，2座储料罐仓顶呼吸口通过管道连接后共用一台除尘器，共设置两台除尘器。呼吸粉尘经除尘器处理后通过不低于15m高排气筒排放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4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2074"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原料运输储存、卸料</w:t>
            </w:r>
          </w:p>
        </w:tc>
        <w:tc>
          <w:tcPr>
            <w:tcW w:w="153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180"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连续</w:t>
            </w:r>
          </w:p>
        </w:tc>
        <w:tc>
          <w:tcPr>
            <w:tcW w:w="2545"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封闭库房，厂区地面硬化、洒水降尘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4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2074"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计量配料</w:t>
            </w:r>
          </w:p>
        </w:tc>
        <w:tc>
          <w:tcPr>
            <w:tcW w:w="153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180"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连续</w:t>
            </w:r>
          </w:p>
        </w:tc>
        <w:tc>
          <w:tcPr>
            <w:tcW w:w="2545"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输送带密闭处理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4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2074"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上料搅拌工序</w:t>
            </w:r>
          </w:p>
        </w:tc>
        <w:tc>
          <w:tcPr>
            <w:tcW w:w="153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180"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连续</w:t>
            </w:r>
          </w:p>
        </w:tc>
        <w:tc>
          <w:tcPr>
            <w:tcW w:w="2545"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布袋除尘器+15m排气筒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64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2074"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运输车辆引起的动力扬尘</w:t>
            </w:r>
          </w:p>
        </w:tc>
        <w:tc>
          <w:tcPr>
            <w:tcW w:w="153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180"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间断</w:t>
            </w:r>
          </w:p>
        </w:tc>
        <w:tc>
          <w:tcPr>
            <w:tcW w:w="2545"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厂区道路硬化、道路保洁、洒水抑尘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645" w:type="dxa"/>
            <w:vMerge w:val="restart"/>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废</w:t>
            </w:r>
            <w:r>
              <w:rPr>
                <w:rFonts w:hint="eastAsia" w:ascii="Times New Roman" w:hAnsi="Times New Roman" w:cs="Times New Roman"/>
                <w:i w:val="0"/>
                <w:color w:val="auto"/>
                <w:kern w:val="0"/>
                <w:sz w:val="21"/>
                <w:szCs w:val="21"/>
                <w:u w:val="none"/>
                <w:lang w:val="en-US" w:eastAsia="zh-CN" w:bidi="ar"/>
              </w:rPr>
              <w:t>水</w:t>
            </w:r>
          </w:p>
        </w:tc>
        <w:tc>
          <w:tcPr>
            <w:tcW w:w="2074" w:type="dxa"/>
            <w:noWrap w:val="0"/>
            <w:vAlign w:val="center"/>
          </w:tcPr>
          <w:p>
            <w:pPr>
              <w:keepNext w:val="0"/>
              <w:keepLines w:val="0"/>
              <w:widowControl/>
              <w:suppressLineNumbers w:val="0"/>
              <w:ind w:left="0" w:leftChars="0" w:firstLine="0" w:firstLine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生活污水</w:t>
            </w:r>
          </w:p>
        </w:tc>
        <w:tc>
          <w:tcPr>
            <w:tcW w:w="1535"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sz w:val="21"/>
                <w:szCs w:val="21"/>
              </w:rPr>
              <w:t>COD</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cs="Times New Roman"/>
                <w:color w:val="auto"/>
                <w:sz w:val="21"/>
                <w:szCs w:val="21"/>
              </w:rPr>
              <w:t>SS</w:t>
            </w:r>
          </w:p>
        </w:tc>
        <w:tc>
          <w:tcPr>
            <w:tcW w:w="1180" w:type="dxa"/>
            <w:vMerge w:val="restart"/>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间断</w:t>
            </w:r>
          </w:p>
        </w:tc>
        <w:tc>
          <w:tcPr>
            <w:tcW w:w="2545"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防渗旱厕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45" w:type="dxa"/>
            <w:vMerge w:val="continue"/>
            <w:noWrap w:val="0"/>
            <w:vAlign w:val="center"/>
          </w:tcPr>
          <w:p>
            <w:pPr>
              <w:keepNext w:val="0"/>
              <w:keepLines w:val="0"/>
              <w:widowControl/>
              <w:suppressLineNumbers w:val="0"/>
              <w:jc w:val="center"/>
              <w:textAlignment w:val="center"/>
              <w:rPr>
                <w:color w:val="auto"/>
              </w:rPr>
            </w:pPr>
          </w:p>
        </w:tc>
        <w:tc>
          <w:tcPr>
            <w:tcW w:w="2074" w:type="dxa"/>
            <w:noWrap w:val="0"/>
            <w:vAlign w:val="center"/>
          </w:tcPr>
          <w:p>
            <w:pPr>
              <w:keepNext w:val="0"/>
              <w:keepLines w:val="0"/>
              <w:widowControl/>
              <w:suppressLineNumbers w:val="0"/>
              <w:ind w:left="0" w:leftChars="0" w:firstLine="0" w:firstLineChars="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实验室废水、设备、车辆清洗废水</w:t>
            </w:r>
          </w:p>
        </w:tc>
        <w:tc>
          <w:tcPr>
            <w:tcW w:w="1535" w:type="dxa"/>
            <w:noWrap w:val="0"/>
            <w:vAlign w:val="center"/>
          </w:tcPr>
          <w:p>
            <w:pPr>
              <w:keepNext w:val="0"/>
              <w:keepLines w:val="0"/>
              <w:widowControl/>
              <w:suppressLineNumbers w:val="0"/>
              <w:ind w:left="0" w:leftChars="0" w:firstLine="0" w:firstLine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SS</w:t>
            </w:r>
          </w:p>
        </w:tc>
        <w:tc>
          <w:tcPr>
            <w:tcW w:w="1180" w:type="dxa"/>
            <w:vMerge w:val="continue"/>
            <w:noWrap w:val="0"/>
            <w:vAlign w:val="center"/>
          </w:tcPr>
          <w:p>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p>
        </w:tc>
        <w:tc>
          <w:tcPr>
            <w:tcW w:w="2545" w:type="dxa"/>
            <w:noWrap w:val="0"/>
            <w:vAlign w:val="center"/>
          </w:tcPr>
          <w:p>
            <w:pPr>
              <w:keepNext w:val="0"/>
              <w:keepLines w:val="0"/>
              <w:widowControl/>
              <w:suppressLineNumbers w:val="0"/>
              <w:ind w:left="0" w:leftChars="0" w:firstLine="0" w:firstLineChars="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沉淀池处理后回用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45" w:type="dxa"/>
            <w:vMerge w:val="restart"/>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噪声</w:t>
            </w:r>
          </w:p>
        </w:tc>
        <w:tc>
          <w:tcPr>
            <w:tcW w:w="2074" w:type="dxa"/>
            <w:noWrap w:val="0"/>
            <w:vAlign w:val="center"/>
          </w:tcPr>
          <w:p>
            <w:pPr>
              <w:keepNext w:val="0"/>
              <w:keepLines w:val="0"/>
              <w:widowControl/>
              <w:suppressLineNumbers w:val="0"/>
              <w:ind w:left="0" w:leftChars="0" w:firstLine="0" w:firstLine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卸料</w:t>
            </w:r>
          </w:p>
        </w:tc>
        <w:tc>
          <w:tcPr>
            <w:tcW w:w="1535" w:type="dxa"/>
            <w:vMerge w:val="restart"/>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噪声</w:t>
            </w:r>
          </w:p>
        </w:tc>
        <w:tc>
          <w:tcPr>
            <w:tcW w:w="1180"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间断</w:t>
            </w:r>
          </w:p>
        </w:tc>
        <w:tc>
          <w:tcPr>
            <w:tcW w:w="2545" w:type="dxa"/>
            <w:vMerge w:val="restart"/>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宋体" w:hAnsi="宋体" w:eastAsia="宋体" w:cs="宋体"/>
                <w:color w:val="auto"/>
                <w:sz w:val="21"/>
                <w:szCs w:val="21"/>
                <w:lang w:eastAsia="zh-CN"/>
              </w:rPr>
              <w:t>设备减振、</w:t>
            </w:r>
            <w:r>
              <w:rPr>
                <w:rFonts w:hint="eastAsia" w:ascii="宋体" w:hAnsi="宋体" w:eastAsia="宋体" w:cs="宋体"/>
                <w:color w:val="auto"/>
                <w:sz w:val="21"/>
                <w:szCs w:val="21"/>
                <w:lang w:val="en-US" w:eastAsia="zh-CN"/>
              </w:rPr>
              <w:t>厂房</w:t>
            </w:r>
            <w:r>
              <w:rPr>
                <w:rFonts w:ascii="宋体" w:hAnsi="宋体" w:eastAsia="宋体" w:cs="宋体"/>
                <w:color w:val="auto"/>
                <w:sz w:val="21"/>
                <w:szCs w:val="21"/>
              </w:rPr>
              <w:t>隔声、距离衰减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4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2074" w:type="dxa"/>
            <w:noWrap w:val="0"/>
            <w:vAlign w:val="center"/>
          </w:tcPr>
          <w:p>
            <w:pPr>
              <w:keepNext w:val="0"/>
              <w:keepLines w:val="0"/>
              <w:widowControl/>
              <w:suppressLineNumbers w:val="0"/>
              <w:ind w:left="0" w:leftChars="0" w:firstLine="0" w:firstLine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计量配料</w:t>
            </w:r>
          </w:p>
        </w:tc>
        <w:tc>
          <w:tcPr>
            <w:tcW w:w="153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180"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连续</w:t>
            </w:r>
          </w:p>
        </w:tc>
        <w:tc>
          <w:tcPr>
            <w:tcW w:w="2545"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4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2074" w:type="dxa"/>
            <w:noWrap w:val="0"/>
            <w:vAlign w:val="center"/>
          </w:tcPr>
          <w:p>
            <w:pPr>
              <w:keepNext w:val="0"/>
              <w:keepLines w:val="0"/>
              <w:widowControl/>
              <w:suppressLineNumbers w:val="0"/>
              <w:ind w:left="0" w:leftChars="0" w:firstLine="0" w:firstLineChars="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搅拌</w:t>
            </w:r>
          </w:p>
        </w:tc>
        <w:tc>
          <w:tcPr>
            <w:tcW w:w="153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180"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连续</w:t>
            </w:r>
          </w:p>
        </w:tc>
        <w:tc>
          <w:tcPr>
            <w:tcW w:w="2545"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45" w:type="dxa"/>
            <w:vMerge w:val="restart"/>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固废</w:t>
            </w:r>
          </w:p>
        </w:tc>
        <w:tc>
          <w:tcPr>
            <w:tcW w:w="2074" w:type="dxa"/>
            <w:noWrap w:val="0"/>
            <w:vAlign w:val="center"/>
          </w:tcPr>
          <w:p>
            <w:pPr>
              <w:ind w:left="0" w:leftChars="0" w:firstLine="0" w:firstLineChars="0"/>
              <w:jc w:val="center"/>
              <w:rPr>
                <w:rFonts w:hint="eastAsia"/>
                <w:color w:val="auto"/>
                <w:sz w:val="21"/>
                <w:szCs w:val="21"/>
                <w:lang w:eastAsia="zh-CN"/>
              </w:rPr>
            </w:pPr>
            <w:r>
              <w:rPr>
                <w:rFonts w:hint="eastAsia"/>
                <w:color w:val="auto"/>
                <w:sz w:val="21"/>
                <w:szCs w:val="21"/>
                <w:lang w:eastAsia="zh-CN"/>
              </w:rPr>
              <w:t>设备车辆清洗</w:t>
            </w:r>
          </w:p>
        </w:tc>
        <w:tc>
          <w:tcPr>
            <w:tcW w:w="1535"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沉淀池</w:t>
            </w:r>
            <w:r>
              <w:rPr>
                <w:rFonts w:hint="eastAsia" w:ascii="Times New Roman" w:hAnsi="Times New Roman" w:cs="Times New Roman"/>
                <w:i w:val="0"/>
                <w:color w:val="auto"/>
                <w:kern w:val="0"/>
                <w:sz w:val="21"/>
                <w:szCs w:val="21"/>
                <w:u w:val="none"/>
                <w:lang w:val="en-US" w:eastAsia="zh-CN" w:bidi="ar"/>
              </w:rPr>
              <w:t>泥沙</w:t>
            </w:r>
          </w:p>
        </w:tc>
        <w:tc>
          <w:tcPr>
            <w:tcW w:w="1180"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间断</w:t>
            </w:r>
          </w:p>
        </w:tc>
        <w:tc>
          <w:tcPr>
            <w:tcW w:w="2545" w:type="dxa"/>
            <w:vMerge w:val="restart"/>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45" w:type="dxa"/>
            <w:vMerge w:val="continue"/>
            <w:noWrap w:val="0"/>
            <w:vAlign w:val="center"/>
          </w:tcPr>
          <w:p>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p>
        </w:tc>
        <w:tc>
          <w:tcPr>
            <w:tcW w:w="2074" w:type="dxa"/>
            <w:noWrap w:val="0"/>
            <w:vAlign w:val="center"/>
          </w:tcPr>
          <w:p>
            <w:pPr>
              <w:ind w:left="0" w:leftChars="0" w:firstLine="0" w:firstLineChars="0"/>
              <w:jc w:val="center"/>
              <w:rPr>
                <w:rFonts w:hint="eastAsia"/>
                <w:color w:val="auto"/>
                <w:sz w:val="21"/>
                <w:szCs w:val="21"/>
                <w:lang w:eastAsia="zh-CN"/>
              </w:rPr>
            </w:pPr>
            <w:r>
              <w:rPr>
                <w:rFonts w:hint="eastAsia"/>
                <w:color w:val="auto"/>
                <w:sz w:val="21"/>
                <w:szCs w:val="21"/>
                <w:lang w:eastAsia="zh-CN"/>
              </w:rPr>
              <w:t>筒仓粉尘</w:t>
            </w:r>
          </w:p>
        </w:tc>
        <w:tc>
          <w:tcPr>
            <w:tcW w:w="1535" w:type="dxa"/>
            <w:vMerge w:val="restart"/>
            <w:noWrap w:val="0"/>
            <w:vAlign w:val="center"/>
          </w:tcPr>
          <w:p>
            <w:pPr>
              <w:keepNext w:val="0"/>
              <w:keepLines w:val="0"/>
              <w:widowControl/>
              <w:suppressLineNumbers w:val="0"/>
              <w:ind w:left="0" w:leftChars="0" w:firstLine="0" w:firstLineChars="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布袋除尘器收集粉尘</w:t>
            </w:r>
          </w:p>
        </w:tc>
        <w:tc>
          <w:tcPr>
            <w:tcW w:w="1180" w:type="dxa"/>
            <w:noWrap w:val="0"/>
            <w:vAlign w:val="center"/>
          </w:tcPr>
          <w:p>
            <w:pPr>
              <w:keepNext w:val="0"/>
              <w:keepLines w:val="0"/>
              <w:widowControl/>
              <w:suppressLineNumbers w:val="0"/>
              <w:ind w:left="0" w:leftChars="0" w:firstLine="0" w:firstLineChars="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间断</w:t>
            </w:r>
          </w:p>
        </w:tc>
        <w:tc>
          <w:tcPr>
            <w:tcW w:w="254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4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2074" w:type="dxa"/>
            <w:noWrap w:val="0"/>
            <w:vAlign w:val="center"/>
          </w:tcPr>
          <w:p>
            <w:pPr>
              <w:ind w:left="0" w:leftChars="0" w:firstLine="0" w:firstLineChars="0"/>
              <w:jc w:val="center"/>
              <w:rPr>
                <w:rFonts w:hint="eastAsia"/>
                <w:color w:val="auto"/>
                <w:sz w:val="21"/>
                <w:szCs w:val="21"/>
                <w:lang w:eastAsia="zh-CN"/>
              </w:rPr>
            </w:pPr>
            <w:r>
              <w:rPr>
                <w:rFonts w:hint="eastAsia"/>
                <w:color w:val="auto"/>
                <w:sz w:val="21"/>
                <w:szCs w:val="21"/>
                <w:lang w:val="en-US" w:eastAsia="zh-CN"/>
              </w:rPr>
              <w:t>上料</w:t>
            </w:r>
            <w:r>
              <w:rPr>
                <w:rFonts w:hint="eastAsia"/>
                <w:color w:val="auto"/>
                <w:sz w:val="21"/>
                <w:szCs w:val="21"/>
                <w:lang w:eastAsia="zh-CN"/>
              </w:rPr>
              <w:t>搅拌粉尘</w:t>
            </w:r>
          </w:p>
        </w:tc>
        <w:tc>
          <w:tcPr>
            <w:tcW w:w="153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180" w:type="dxa"/>
            <w:noWrap w:val="0"/>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连续</w:t>
            </w:r>
          </w:p>
        </w:tc>
        <w:tc>
          <w:tcPr>
            <w:tcW w:w="2545"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4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2074" w:type="dxa"/>
            <w:noWrap w:val="0"/>
            <w:vAlign w:val="center"/>
          </w:tcPr>
          <w:p>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计量配料</w:t>
            </w:r>
          </w:p>
        </w:tc>
        <w:tc>
          <w:tcPr>
            <w:tcW w:w="1535" w:type="dxa"/>
            <w:vMerge w:val="continue"/>
            <w:noWrap w:val="0"/>
            <w:vAlign w:val="center"/>
          </w:tcPr>
          <w:p>
            <w:pPr>
              <w:jc w:val="center"/>
              <w:rPr>
                <w:rFonts w:hint="eastAsia" w:ascii="Times New Roman" w:hAnsi="Times New Roman" w:eastAsia="宋体" w:cs="Times New Roman"/>
                <w:color w:val="auto"/>
                <w:sz w:val="21"/>
                <w:szCs w:val="21"/>
                <w:lang w:val="en-US" w:eastAsia="zh-CN"/>
              </w:rPr>
            </w:pPr>
          </w:p>
        </w:tc>
        <w:tc>
          <w:tcPr>
            <w:tcW w:w="1180" w:type="dxa"/>
            <w:noWrap w:val="0"/>
            <w:vAlign w:val="center"/>
          </w:tcPr>
          <w:p>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连续</w:t>
            </w:r>
          </w:p>
        </w:tc>
        <w:tc>
          <w:tcPr>
            <w:tcW w:w="2545" w:type="dxa"/>
            <w:vMerge w:val="continue"/>
            <w:noWrap w:val="0"/>
            <w:vAlign w:val="center"/>
          </w:tcPr>
          <w:p>
            <w:pPr>
              <w:keepNext w:val="0"/>
              <w:keepLines w:val="0"/>
              <w:widowControl/>
              <w:suppressLineNumbers w:val="0"/>
              <w:jc w:val="center"/>
              <w:textAlignment w:val="center"/>
              <w:rPr>
                <w:rFonts w:hint="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4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2074" w:type="dxa"/>
            <w:noWrap w:val="0"/>
            <w:vAlign w:val="center"/>
          </w:tcPr>
          <w:p>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不合格产品、混凝土试验</w:t>
            </w:r>
          </w:p>
        </w:tc>
        <w:tc>
          <w:tcPr>
            <w:tcW w:w="1535" w:type="dxa"/>
            <w:noWrap w:val="0"/>
            <w:vAlign w:val="center"/>
          </w:tcPr>
          <w:p>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废混凝土</w:t>
            </w:r>
          </w:p>
        </w:tc>
        <w:tc>
          <w:tcPr>
            <w:tcW w:w="1180" w:type="dxa"/>
            <w:noWrap w:val="0"/>
            <w:vAlign w:val="center"/>
          </w:tcPr>
          <w:p>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i w:val="0"/>
                <w:color w:val="auto"/>
                <w:kern w:val="0"/>
                <w:sz w:val="21"/>
                <w:szCs w:val="21"/>
                <w:u w:val="none"/>
                <w:lang w:val="en-US" w:eastAsia="zh-CN" w:bidi="ar"/>
              </w:rPr>
              <w:t>间断</w:t>
            </w:r>
          </w:p>
        </w:tc>
        <w:tc>
          <w:tcPr>
            <w:tcW w:w="2545" w:type="dxa"/>
            <w:noWrap w:val="0"/>
            <w:vAlign w:val="center"/>
          </w:tcPr>
          <w:p>
            <w:pPr>
              <w:keepNext w:val="0"/>
              <w:keepLines w:val="0"/>
              <w:widowControl/>
              <w:suppressLineNumbers w:val="0"/>
              <w:ind w:left="0" w:leftChars="0" w:firstLine="0" w:firstLineChars="0"/>
              <w:jc w:val="center"/>
              <w:textAlignment w:val="center"/>
              <w:rPr>
                <w:rFonts w:hint="eastAsia"/>
                <w:color w:val="auto"/>
                <w:sz w:val="21"/>
                <w:szCs w:val="21"/>
                <w:lang w:val="en-US" w:eastAsia="zh-CN"/>
              </w:rPr>
            </w:pPr>
            <w:r>
              <w:rPr>
                <w:rFonts w:hint="eastAsia" w:ascii="Times New Roman" w:hAnsi="Times New Roman" w:cs="Times New Roman"/>
                <w:i w:val="0"/>
                <w:color w:val="auto"/>
                <w:kern w:val="0"/>
                <w:sz w:val="21"/>
                <w:szCs w:val="21"/>
                <w:u w:val="none"/>
                <w:lang w:val="en-US" w:eastAsia="zh-CN" w:bidi="ar"/>
              </w:rPr>
              <w:t>手动破碎后回用于生产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45"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2074" w:type="dxa"/>
            <w:noWrap w:val="0"/>
            <w:vAlign w:val="center"/>
          </w:tcPr>
          <w:p>
            <w:pPr>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生活垃圾</w:t>
            </w:r>
          </w:p>
        </w:tc>
        <w:tc>
          <w:tcPr>
            <w:tcW w:w="1535" w:type="dxa"/>
            <w:noWrap w:val="0"/>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生活垃圾</w:t>
            </w:r>
          </w:p>
        </w:tc>
        <w:tc>
          <w:tcPr>
            <w:tcW w:w="1180" w:type="dxa"/>
            <w:noWrap w:val="0"/>
            <w:vAlign w:val="center"/>
          </w:tcPr>
          <w:p>
            <w:pPr>
              <w:keepNext w:val="0"/>
              <w:keepLines w:val="0"/>
              <w:widowControl/>
              <w:suppressLineNumbers w:val="0"/>
              <w:ind w:left="0" w:leftChars="0" w:firstLine="0" w:firstLineChars="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间断</w:t>
            </w:r>
          </w:p>
        </w:tc>
        <w:tc>
          <w:tcPr>
            <w:tcW w:w="2545" w:type="dxa"/>
            <w:noWrap w:val="0"/>
            <w:vAlign w:val="center"/>
          </w:tcPr>
          <w:p>
            <w:pPr>
              <w:keepNext w:val="0"/>
              <w:keepLines w:val="0"/>
              <w:widowControl/>
              <w:suppressLineNumbers w:val="0"/>
              <w:ind w:left="0" w:leftChars="0"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委托环卫部门处置</w:t>
            </w:r>
          </w:p>
        </w:tc>
      </w:tr>
    </w:tbl>
    <w:p>
      <w:pPr>
        <w:pStyle w:val="5"/>
        <w:rPr>
          <w:rFonts w:hint="eastAsia" w:ascii="宋体" w:hAnsi="宋体" w:eastAsia="宋体" w:cs="宋体"/>
        </w:rPr>
      </w:pPr>
      <w:r>
        <w:rPr>
          <w:rFonts w:hint="eastAsia" w:ascii="宋体" w:hAnsi="宋体" w:eastAsia="宋体" w:cs="宋体"/>
        </w:rPr>
        <w:t>2.4劳动定员及工作制度</w:t>
      </w:r>
      <w:bookmarkEnd w:id="18"/>
      <w:bookmarkEnd w:id="19"/>
    </w:p>
    <w:p>
      <w:pPr>
        <w:ind w:firstLine="480"/>
        <w:rPr>
          <w:rFonts w:hint="eastAsia" w:ascii="宋体" w:hAnsi="宋体" w:eastAsia="宋体" w:cs="宋体"/>
        </w:rPr>
      </w:pPr>
      <w:r>
        <w:rPr>
          <w:rFonts w:hint="eastAsia" w:ascii="宋体" w:hAnsi="宋体" w:eastAsia="宋体" w:cs="宋体"/>
        </w:rPr>
        <w:t>本次技改不新增劳动定员，厂区现有劳动定员</w:t>
      </w:r>
      <w:r>
        <w:rPr>
          <w:rFonts w:hint="eastAsia" w:ascii="宋体" w:hAnsi="宋体" w:cs="宋体"/>
          <w:lang w:val="en-US" w:eastAsia="zh-CN"/>
        </w:rPr>
        <w:t>20人</w:t>
      </w:r>
      <w:r>
        <w:rPr>
          <w:rFonts w:hint="eastAsia" w:ascii="宋体" w:hAnsi="宋体" w:eastAsia="宋体" w:cs="宋体"/>
        </w:rPr>
        <w:t>，劳动制度实行每天一班制，每班工作时间8小时，年生产时间为</w:t>
      </w:r>
      <w:r>
        <w:rPr>
          <w:rFonts w:hint="eastAsia" w:ascii="宋体" w:hAnsi="宋体" w:eastAsia="宋体" w:cs="宋体"/>
          <w:lang w:val="en-US" w:eastAsia="zh-CN"/>
        </w:rPr>
        <w:t>2</w:t>
      </w:r>
      <w:r>
        <w:rPr>
          <w:rFonts w:hint="eastAsia" w:ascii="宋体" w:hAnsi="宋体" w:cs="宋体"/>
          <w:lang w:val="en-US" w:eastAsia="zh-CN"/>
        </w:rPr>
        <w:t>4</w:t>
      </w:r>
      <w:r>
        <w:rPr>
          <w:rFonts w:hint="eastAsia" w:ascii="宋体" w:hAnsi="宋体" w:eastAsia="宋体" w:cs="宋体"/>
          <w:lang w:val="en-US" w:eastAsia="zh-CN"/>
        </w:rPr>
        <w:t>0</w:t>
      </w:r>
      <w:r>
        <w:rPr>
          <w:rFonts w:hint="eastAsia" w:ascii="宋体" w:hAnsi="宋体" w:eastAsia="宋体" w:cs="宋体"/>
        </w:rPr>
        <w:t>天。</w:t>
      </w:r>
    </w:p>
    <w:p>
      <w:pPr>
        <w:pStyle w:val="5"/>
        <w:rPr>
          <w:rFonts w:hint="eastAsia" w:ascii="宋体" w:hAnsi="宋体" w:eastAsia="宋体" w:cs="宋体"/>
        </w:rPr>
      </w:pPr>
      <w:bookmarkStart w:id="24" w:name="_Toc12284"/>
      <w:r>
        <w:rPr>
          <w:rFonts w:hint="eastAsia" w:ascii="宋体" w:hAnsi="宋体" w:eastAsia="宋体" w:cs="宋体"/>
        </w:rPr>
        <w:t>2.5</w:t>
      </w:r>
      <w:bookmarkEnd w:id="20"/>
      <w:r>
        <w:rPr>
          <w:rFonts w:hint="eastAsia" w:ascii="宋体" w:hAnsi="宋体" w:eastAsia="宋体" w:cs="宋体"/>
        </w:rPr>
        <w:t>公用工程</w:t>
      </w:r>
      <w:bookmarkEnd w:id="24"/>
    </w:p>
    <w:p>
      <w:pPr>
        <w:pStyle w:val="6"/>
        <w:rPr>
          <w:rFonts w:hint="eastAsia" w:ascii="宋体" w:hAnsi="宋体" w:eastAsia="宋体" w:cs="宋体"/>
        </w:rPr>
      </w:pPr>
      <w:r>
        <w:rPr>
          <w:rFonts w:hint="eastAsia" w:ascii="宋体" w:hAnsi="宋体" w:eastAsia="宋体" w:cs="宋体"/>
        </w:rPr>
        <w:t>2.5.1给排水</w:t>
      </w:r>
    </w:p>
    <w:p>
      <w:pPr>
        <w:ind w:firstLine="480"/>
        <w:rPr>
          <w:rFonts w:hint="eastAsia" w:ascii="宋体" w:hAnsi="宋体" w:eastAsia="宋体" w:cs="宋体"/>
        </w:rPr>
      </w:pPr>
      <w:r>
        <w:rPr>
          <w:rFonts w:hint="eastAsia" w:ascii="宋体" w:hAnsi="宋体" w:eastAsia="宋体" w:cs="宋体"/>
        </w:rPr>
        <w:t>本技改项目完成后，厂区用水平衡如下。</w:t>
      </w:r>
    </w:p>
    <w:p>
      <w:pPr>
        <w:ind w:firstLine="480"/>
        <w:rPr>
          <w:rFonts w:hint="eastAsia" w:ascii="宋体" w:hAnsi="宋体" w:eastAsia="宋体" w:cs="宋体"/>
          <w:lang w:val="en-US" w:eastAsia="zh-CN"/>
        </w:rPr>
      </w:pPr>
      <w:r>
        <w:rPr>
          <w:rFonts w:hint="eastAsia" w:ascii="宋体" w:hAnsi="宋体" w:eastAsia="宋体" w:cs="宋体"/>
          <w:lang w:val="en-US" w:eastAsia="zh-CN"/>
        </w:rPr>
        <w:t>①生产配料用水：根据建设单位提供资料，生产配料用水量约为15947.4t/a。配料用水与原料混合后，进入成品中，无废水产生。</w:t>
      </w:r>
    </w:p>
    <w:p>
      <w:pPr>
        <w:ind w:firstLine="480"/>
        <w:rPr>
          <w:rFonts w:hint="eastAsia" w:ascii="宋体" w:hAnsi="宋体" w:eastAsia="宋体" w:cs="宋体"/>
          <w:lang w:val="en-US" w:eastAsia="zh-CN"/>
        </w:rPr>
      </w:pPr>
      <w:r>
        <w:rPr>
          <w:rFonts w:hint="eastAsia" w:ascii="宋体" w:hAnsi="宋体" w:eastAsia="宋体" w:cs="宋体"/>
          <w:lang w:val="en-US" w:eastAsia="zh-CN"/>
        </w:rPr>
        <w:t>②设备清洗用水：混凝土生产线搅拌机在每天暂停生产时应进行清洗，约每天清洗一次，每次清洗用水量约为1.5t/次，则搅拌机清洗用水量约为1.5t/d（375t/a）。设备清洗废水按用水量的80%计，则设备清洗废水产生量为1.2t/d（300t/a），经沉淀池沉淀后回用于车辆清洗及厂区洒水抑尘，不外排。</w:t>
      </w:r>
    </w:p>
    <w:p>
      <w:pPr>
        <w:ind w:firstLine="480"/>
        <w:rPr>
          <w:rFonts w:hint="eastAsia" w:ascii="宋体" w:hAnsi="宋体" w:eastAsia="宋体" w:cs="宋体"/>
          <w:lang w:val="en-US" w:eastAsia="zh-CN"/>
        </w:rPr>
      </w:pPr>
      <w:r>
        <w:rPr>
          <w:rFonts w:hint="eastAsia" w:ascii="宋体" w:hAnsi="宋体" w:eastAsia="宋体" w:cs="宋体"/>
          <w:lang w:val="en-US" w:eastAsia="zh-CN"/>
        </w:rPr>
        <w:t>③车辆清洗用水：项目商品混凝土年销售量为6万立方米，单车一次运输量最大为12立方，则每年约需运输5000辆·次，即21辆·次/d（年营运240天），运输车辆每次运输出厂时均需进行冲洗。本项目在厂区设置沉淀池用于车辆清洗。根据《建筑给排水设计规范》（GB50015-2019）中表3.2.7汽车冲洗最高日用水定额，本项目按照循环用水冲洗补水50L/辆·次计，则车辆清洗用水量为1.05t/d（252t/a）。车辆清洗废水按用水量的80%计，则车辆清洗废水产生量为0.84m3/d（201.6m3/a），经沉淀池沉淀后循环使用不外排。</w:t>
      </w:r>
    </w:p>
    <w:p>
      <w:pPr>
        <w:ind w:firstLine="480"/>
        <w:rPr>
          <w:rFonts w:hint="eastAsia" w:ascii="宋体" w:hAnsi="宋体" w:eastAsia="宋体" w:cs="宋体"/>
          <w:lang w:val="en-US" w:eastAsia="zh-CN"/>
        </w:rPr>
      </w:pPr>
      <w:r>
        <w:rPr>
          <w:rFonts w:hint="eastAsia" w:ascii="宋体" w:hAnsi="宋体" w:eastAsia="宋体" w:cs="宋体"/>
          <w:lang w:val="en-US" w:eastAsia="zh-CN"/>
        </w:rPr>
        <w:t>④厂区抑尘用水：</w:t>
      </w:r>
      <w:r>
        <w:rPr>
          <w:rFonts w:hint="eastAsia" w:ascii="宋体" w:hAnsi="宋体" w:eastAsia="宋体" w:cs="宋体"/>
        </w:rPr>
        <w:t>为了降低厂区粉尘对周边环境的影响，需对厂区道路、装卸点等进行洒水降尘、定期清扫除尘，类比同类项目，用水量约为2</w:t>
      </w:r>
      <w:r>
        <w:rPr>
          <w:rFonts w:hint="eastAsia" w:ascii="宋体" w:hAnsi="宋体" w:eastAsia="宋体" w:cs="宋体"/>
          <w:lang w:val="en-US" w:eastAsia="zh-CN"/>
        </w:rPr>
        <w:t>t</w:t>
      </w:r>
      <w:r>
        <w:rPr>
          <w:rFonts w:hint="eastAsia" w:ascii="宋体" w:hAnsi="宋体" w:eastAsia="宋体" w:cs="宋体"/>
        </w:rPr>
        <w:t>/d，年工作</w:t>
      </w:r>
      <w:r>
        <w:rPr>
          <w:rFonts w:hint="eastAsia" w:ascii="宋体" w:hAnsi="宋体" w:eastAsia="宋体" w:cs="宋体"/>
          <w:lang w:val="en-US" w:eastAsia="zh-CN"/>
        </w:rPr>
        <w:t>240</w:t>
      </w:r>
      <w:r>
        <w:rPr>
          <w:rFonts w:hint="eastAsia" w:ascii="宋体" w:hAnsi="宋体" w:eastAsia="宋体" w:cs="宋体"/>
        </w:rPr>
        <w:t>d，则抑尘用水量为</w:t>
      </w:r>
      <w:r>
        <w:rPr>
          <w:rFonts w:hint="eastAsia" w:ascii="宋体" w:hAnsi="宋体" w:eastAsia="宋体" w:cs="宋体"/>
          <w:lang w:val="en-US" w:eastAsia="zh-CN"/>
        </w:rPr>
        <w:t>480t</w:t>
      </w:r>
      <w:r>
        <w:rPr>
          <w:rFonts w:hint="eastAsia" w:ascii="宋体" w:hAnsi="宋体" w:eastAsia="宋体" w:cs="宋体"/>
        </w:rPr>
        <w:t>/a。</w:t>
      </w:r>
      <w:r>
        <w:rPr>
          <w:rFonts w:hint="eastAsia" w:ascii="宋体" w:hAnsi="宋体" w:eastAsia="宋体" w:cs="宋体"/>
          <w:lang w:val="en-US" w:eastAsia="zh-CN"/>
        </w:rPr>
        <w:t>厂区抑尘用水全部蒸发损耗不外排。</w:t>
      </w:r>
    </w:p>
    <w:p>
      <w:pPr>
        <w:ind w:firstLine="480"/>
        <w:rPr>
          <w:rFonts w:hint="eastAsia" w:ascii="宋体" w:hAnsi="宋体" w:eastAsia="宋体" w:cs="宋体"/>
          <w:lang w:val="en-US" w:eastAsia="zh-CN"/>
        </w:rPr>
      </w:pPr>
      <w:r>
        <w:rPr>
          <w:rFonts w:hint="eastAsia" w:ascii="宋体" w:hAnsi="宋体" w:eastAsia="宋体" w:cs="宋体"/>
          <w:lang w:val="en-US" w:eastAsia="zh-CN"/>
        </w:rPr>
        <w:t>⑤化验室用水：本项目设有化验室，为混凝土物理性质检验，化验室中试验器具的清洗和混凝土养护会产生废水，根据企业提供资料，本项目化验室用水量约1m3/d（240m3/a）。废水产生量按80%计，则化验室废水产生量为0.8m3/d（192m3/a），主要污染因子为SS，直接排入沉淀池沉淀后用于车辆清洗及厂区抑尘用水。</w:t>
      </w:r>
    </w:p>
    <w:p>
      <w:pPr>
        <w:ind w:firstLine="480"/>
        <w:rPr>
          <w:rFonts w:hint="eastAsia" w:ascii="宋体" w:hAnsi="宋体" w:eastAsia="宋体" w:cs="宋体"/>
        </w:rPr>
      </w:pPr>
      <w:r>
        <w:rPr>
          <w:rFonts w:hint="eastAsia" w:ascii="宋体" w:hAnsi="宋体" w:eastAsia="宋体" w:cs="宋体"/>
          <w:lang w:val="en-US" w:eastAsia="zh-CN"/>
        </w:rPr>
        <w:t>⑥生活污水：</w:t>
      </w:r>
      <w:r>
        <w:rPr>
          <w:rFonts w:hint="eastAsia" w:ascii="宋体" w:hAnsi="宋体" w:eastAsia="宋体" w:cs="宋体"/>
        </w:rPr>
        <w:t>厂区劳动定员为</w:t>
      </w:r>
      <w:r>
        <w:rPr>
          <w:rFonts w:hint="eastAsia" w:ascii="宋体" w:hAnsi="宋体" w:eastAsia="宋体" w:cs="宋体"/>
          <w:lang w:val="en-US" w:eastAsia="zh-CN"/>
        </w:rPr>
        <w:t>20</w:t>
      </w:r>
      <w:r>
        <w:rPr>
          <w:rFonts w:hint="eastAsia" w:ascii="宋体" w:hAnsi="宋体" w:eastAsia="宋体" w:cs="宋体"/>
        </w:rPr>
        <w:t>人，</w:t>
      </w:r>
      <w:r>
        <w:rPr>
          <w:rFonts w:hint="eastAsia" w:ascii="宋体" w:hAnsi="宋体" w:eastAsia="宋体" w:cs="宋体"/>
          <w:lang w:val="en-US" w:eastAsia="zh-CN"/>
        </w:rPr>
        <w:t>年工作240天，</w:t>
      </w:r>
      <w:r>
        <w:rPr>
          <w:rFonts w:hint="eastAsia" w:ascii="宋体" w:hAnsi="宋体" w:eastAsia="宋体" w:cs="宋体"/>
        </w:rPr>
        <w:t>参照河北省地方标准《</w:t>
      </w:r>
      <w:r>
        <w:rPr>
          <w:rFonts w:hint="eastAsia" w:ascii="宋体" w:hAnsi="宋体" w:eastAsia="宋体" w:cs="宋体"/>
          <w:lang w:val="en-US" w:eastAsia="zh-CN"/>
        </w:rPr>
        <w:t>生活与服务业用水定额 第一部分：居民生活</w:t>
      </w:r>
      <w:r>
        <w:rPr>
          <w:rFonts w:hint="eastAsia" w:ascii="宋体" w:hAnsi="宋体" w:eastAsia="宋体" w:cs="宋体"/>
        </w:rPr>
        <w:t>》（DB13/T</w:t>
      </w:r>
      <w:r>
        <w:rPr>
          <w:rFonts w:hint="eastAsia" w:ascii="宋体" w:hAnsi="宋体" w:eastAsia="宋体" w:cs="宋体"/>
          <w:lang w:val="en-US" w:eastAsia="zh-CN"/>
        </w:rPr>
        <w:t>5450.1-2021</w:t>
      </w:r>
      <w:r>
        <w:rPr>
          <w:rFonts w:hint="eastAsia" w:ascii="宋体" w:hAnsi="宋体" w:eastAsia="宋体" w:cs="宋体"/>
        </w:rPr>
        <w:t>）员工用水量以</w:t>
      </w:r>
      <w:r>
        <w:rPr>
          <w:rFonts w:hint="eastAsia" w:ascii="宋体" w:hAnsi="宋体" w:eastAsia="宋体" w:cs="宋体"/>
          <w:lang w:val="en-US" w:eastAsia="zh-CN"/>
        </w:rPr>
        <w:t>22</w:t>
      </w:r>
      <w:r>
        <w:rPr>
          <w:rFonts w:hint="eastAsia" w:ascii="宋体" w:hAnsi="宋体" w:eastAsia="宋体" w:cs="宋体"/>
        </w:rPr>
        <w:t>L/人·d计，则该项目职工生活用水量为</w:t>
      </w:r>
      <w:r>
        <w:rPr>
          <w:rFonts w:hint="eastAsia" w:ascii="宋体" w:hAnsi="宋体" w:eastAsia="宋体" w:cs="宋体"/>
          <w:lang w:val="en-US" w:eastAsia="zh-CN"/>
        </w:rPr>
        <w:t>0.44t</w:t>
      </w:r>
      <w:r>
        <w:rPr>
          <w:rFonts w:hint="eastAsia" w:ascii="宋体" w:hAnsi="宋体" w:eastAsia="宋体" w:cs="宋体"/>
        </w:rPr>
        <w:t>/d</w:t>
      </w:r>
      <w:r>
        <w:rPr>
          <w:rFonts w:hint="eastAsia" w:ascii="宋体" w:hAnsi="宋体" w:eastAsia="宋体" w:cs="宋体"/>
          <w:lang w:eastAsia="zh-CN"/>
        </w:rPr>
        <w:t>（</w:t>
      </w:r>
      <w:r>
        <w:rPr>
          <w:rFonts w:hint="eastAsia" w:ascii="宋体" w:hAnsi="宋体" w:eastAsia="宋体" w:cs="宋体"/>
          <w:lang w:val="en-US" w:eastAsia="zh-CN"/>
        </w:rPr>
        <w:t>105.6t</w:t>
      </w:r>
      <w:r>
        <w:rPr>
          <w:rFonts w:hint="eastAsia" w:ascii="宋体" w:hAnsi="宋体" w:eastAsia="宋体" w:cs="宋体"/>
        </w:rPr>
        <w:t>/a</w:t>
      </w: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val="en-US" w:eastAsia="zh-CN"/>
        </w:rPr>
        <w:t>废水量按新鲜水的80%计，则生活污水产生量为84.48t</w:t>
      </w:r>
      <w:r>
        <w:rPr>
          <w:rFonts w:hint="eastAsia" w:ascii="宋体" w:hAnsi="宋体" w:eastAsia="宋体" w:cs="宋体"/>
        </w:rPr>
        <w:t>/a</w:t>
      </w:r>
      <w:r>
        <w:rPr>
          <w:rFonts w:hint="eastAsia" w:ascii="宋体" w:hAnsi="宋体" w:eastAsia="宋体" w:cs="宋体"/>
          <w:lang w:eastAsia="zh-CN"/>
        </w:rPr>
        <w:t>，</w:t>
      </w:r>
      <w:r>
        <w:rPr>
          <w:rFonts w:hint="eastAsia" w:ascii="宋体" w:hAnsi="宋体" w:eastAsia="宋体" w:cs="宋体"/>
          <w:lang w:val="en-US" w:eastAsia="zh-CN"/>
        </w:rPr>
        <w:t>生活污水排入防渗旱厕，交由环卫部门处置</w:t>
      </w:r>
      <w:r>
        <w:rPr>
          <w:rFonts w:hint="eastAsia" w:ascii="宋体" w:hAnsi="宋体" w:eastAsia="宋体" w:cs="宋体"/>
        </w:rPr>
        <w:t>。项目水平衡图如下。</w:t>
      </w:r>
    </w:p>
    <w:p>
      <w:pPr>
        <w:pStyle w:val="2"/>
        <w:rPr>
          <w:rFonts w:hint="eastAsia"/>
        </w:rPr>
      </w:pPr>
      <w:r>
        <w:rPr>
          <w:color w:val="auto"/>
          <w:sz w:val="24"/>
          <w:szCs w:val="24"/>
        </w:rPr>
        <w:pict>
          <v:shape id="Object 18" o:spid="_x0000_s1029" o:spt="75" alt="" type="#_x0000_t75" style="position:absolute;left:0pt;margin-left:-4.85pt;margin-top:6.95pt;height:393.2pt;width:353.3pt;z-index:251677696;mso-width-relative:page;mso-height-relative:page;" o:ole="t" filled="f" o:preferrelative="t" stroked="f" coordsize="21600,21600">
            <v:path/>
            <v:fill on="f" focussize="0,0"/>
            <v:stroke on="f"/>
            <v:imagedata r:id="rId22" o:title=""/>
            <o:lock v:ext="edit" aspectratio="t"/>
          </v:shape>
          <o:OLEObject Type="Embed" ProgID="Visio.Drawing.15" ShapeID="Object 18" DrawAspect="Content" ObjectID="_1468075726" r:id="rId21">
            <o:LockedField>false</o:LockedField>
          </o:OLEObject>
        </w:pict>
      </w:r>
    </w:p>
    <w:p>
      <w:pPr>
        <w:pStyle w:val="2"/>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2"/>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2"/>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spacing w:line="240" w:lineRule="auto"/>
        <w:ind w:firstLine="0" w:firstLineChars="0"/>
        <w:jc w:val="center"/>
        <w:rPr>
          <w:rFonts w:hint="eastAsia" w:ascii="宋体" w:hAnsi="宋体" w:eastAsia="宋体" w:cs="宋体"/>
          <w:b/>
          <w:bCs/>
          <w:color w:val="000000"/>
          <w:szCs w:val="24"/>
        </w:rPr>
      </w:pPr>
    </w:p>
    <w:p>
      <w:pPr>
        <w:pStyle w:val="110"/>
        <w:jc w:val="center"/>
        <w:rPr>
          <w:rFonts w:hint="eastAsia" w:ascii="宋体" w:hAnsi="宋体" w:eastAsia="宋体" w:cs="宋体"/>
        </w:rPr>
      </w:pPr>
    </w:p>
    <w:p>
      <w:pPr>
        <w:pStyle w:val="110"/>
        <w:jc w:val="center"/>
        <w:rPr>
          <w:rFonts w:hint="eastAsia" w:ascii="宋体" w:hAnsi="宋体" w:eastAsia="宋体" w:cs="宋体"/>
        </w:rPr>
      </w:pPr>
      <w:r>
        <w:rPr>
          <w:rFonts w:hint="eastAsia" w:ascii="宋体" w:hAnsi="宋体" w:eastAsia="宋体" w:cs="宋体"/>
        </w:rPr>
        <w:t>图2-2  项目水平衡图</w:t>
      </w:r>
      <w:r>
        <w:rPr>
          <w:rFonts w:hint="eastAsia" w:ascii="宋体" w:hAnsi="宋体" w:eastAsia="宋体" w:cs="宋体"/>
        </w:rPr>
        <w:tab/>
      </w:r>
      <w:r>
        <w:rPr>
          <w:rFonts w:hint="eastAsia" w:ascii="宋体" w:hAnsi="宋体" w:eastAsia="宋体" w:cs="宋体"/>
        </w:rPr>
        <w:t>（单位：t/a）</w:t>
      </w:r>
    </w:p>
    <w:p>
      <w:pPr>
        <w:pStyle w:val="6"/>
        <w:rPr>
          <w:rFonts w:hint="eastAsia" w:ascii="宋体" w:hAnsi="宋体" w:eastAsia="宋体" w:cs="宋体"/>
        </w:rPr>
      </w:pPr>
      <w:r>
        <w:rPr>
          <w:rFonts w:hint="eastAsia" w:ascii="宋体" w:hAnsi="宋体" w:eastAsia="宋体" w:cs="宋体"/>
        </w:rPr>
        <w:t>2.5.2供电</w:t>
      </w:r>
    </w:p>
    <w:p>
      <w:pPr>
        <w:ind w:firstLine="480"/>
        <w:rPr>
          <w:rFonts w:hint="eastAsia" w:ascii="宋体" w:hAnsi="宋体" w:eastAsia="宋体" w:cs="宋体"/>
        </w:rPr>
      </w:pPr>
      <w:r>
        <w:rPr>
          <w:rFonts w:hint="eastAsia" w:ascii="宋体" w:hAnsi="宋体" w:eastAsia="宋体" w:cs="宋体"/>
        </w:rPr>
        <w:t>技改项目不新增用电，现有厂区用电由</w:t>
      </w:r>
      <w:r>
        <w:rPr>
          <w:rFonts w:hint="eastAsia" w:ascii="宋体" w:hAnsi="宋体" w:eastAsia="宋体" w:cs="宋体"/>
          <w:lang w:val="en-US" w:eastAsia="zh-CN"/>
        </w:rPr>
        <w:t>市政</w:t>
      </w:r>
      <w:r>
        <w:rPr>
          <w:rFonts w:hint="eastAsia" w:ascii="宋体" w:hAnsi="宋体" w:eastAsia="宋体" w:cs="宋体"/>
        </w:rPr>
        <w:t>供电所提供。</w:t>
      </w:r>
    </w:p>
    <w:p>
      <w:pPr>
        <w:pStyle w:val="6"/>
        <w:rPr>
          <w:rFonts w:hint="eastAsia" w:ascii="宋体" w:hAnsi="宋体" w:eastAsia="宋体" w:cs="宋体"/>
        </w:rPr>
      </w:pPr>
      <w:r>
        <w:rPr>
          <w:rFonts w:hint="eastAsia" w:ascii="宋体" w:hAnsi="宋体" w:eastAsia="宋体" w:cs="宋体"/>
        </w:rPr>
        <w:t>2.5.3供热</w:t>
      </w:r>
    </w:p>
    <w:p>
      <w:pPr>
        <w:ind w:firstLine="480"/>
        <w:rPr>
          <w:rFonts w:hint="eastAsia" w:ascii="宋体" w:hAnsi="宋体" w:eastAsia="宋体" w:cs="宋体"/>
        </w:rPr>
      </w:pPr>
      <w:r>
        <w:rPr>
          <w:rFonts w:hint="eastAsia" w:ascii="宋体" w:hAnsi="宋体" w:eastAsia="宋体" w:cs="宋体"/>
        </w:rPr>
        <w:t>项目冬季不生产，无需供热。</w:t>
      </w:r>
    </w:p>
    <w:p>
      <w:pPr>
        <w:pStyle w:val="5"/>
        <w:rPr>
          <w:rFonts w:hint="eastAsia" w:ascii="宋体" w:hAnsi="宋体" w:eastAsia="宋体" w:cs="宋体"/>
        </w:rPr>
      </w:pPr>
      <w:bookmarkStart w:id="25" w:name="_Toc16524"/>
      <w:r>
        <w:rPr>
          <w:rFonts w:hint="eastAsia" w:ascii="宋体" w:hAnsi="宋体" w:eastAsia="宋体" w:cs="宋体"/>
        </w:rPr>
        <w:t>2.6 环评审批情况</w:t>
      </w:r>
      <w:bookmarkEnd w:id="25"/>
    </w:p>
    <w:p>
      <w:pPr>
        <w:ind w:firstLine="480"/>
        <w:rPr>
          <w:rFonts w:hint="eastAsia" w:ascii="宋体" w:hAnsi="宋体" w:eastAsia="宋体" w:cs="宋体"/>
        </w:rPr>
      </w:pPr>
      <w:r>
        <w:rPr>
          <w:rFonts w:hint="eastAsia" w:ascii="宋体" w:hAnsi="宋体" w:eastAsia="宋体" w:cs="宋体"/>
        </w:rPr>
        <w:t>2023年</w:t>
      </w:r>
      <w:r>
        <w:rPr>
          <w:rFonts w:hint="eastAsia" w:ascii="宋体" w:hAnsi="宋体" w:cs="宋体"/>
          <w:lang w:val="en-US" w:eastAsia="zh-CN"/>
        </w:rPr>
        <w:t>12</w:t>
      </w:r>
      <w:r>
        <w:rPr>
          <w:rFonts w:hint="eastAsia" w:ascii="宋体" w:hAnsi="宋体" w:eastAsia="宋体" w:cs="宋体"/>
        </w:rPr>
        <w:t>月，</w:t>
      </w:r>
      <w:r>
        <w:rPr>
          <w:rFonts w:hint="eastAsia" w:ascii="宋体" w:hAnsi="宋体" w:cs="宋体"/>
          <w:lang w:eastAsia="zh-CN"/>
        </w:rPr>
        <w:t>河北友联建筑材料股份有限公司</w:t>
      </w:r>
      <w:r>
        <w:rPr>
          <w:rFonts w:hint="eastAsia" w:ascii="宋体" w:hAnsi="宋体" w:eastAsia="宋体" w:cs="宋体"/>
        </w:rPr>
        <w:t>委托</w:t>
      </w:r>
      <w:r>
        <w:rPr>
          <w:rFonts w:hint="eastAsia" w:ascii="宋体" w:hAnsi="宋体" w:eastAsia="宋体" w:cs="宋体"/>
          <w:lang w:eastAsia="zh-CN"/>
        </w:rPr>
        <w:t>张家口昊峰环保科技有限公司</w:t>
      </w:r>
      <w:r>
        <w:rPr>
          <w:rFonts w:hint="eastAsia" w:ascii="宋体" w:hAnsi="宋体" w:eastAsia="宋体" w:cs="宋体"/>
        </w:rPr>
        <w:t>编制了《</w:t>
      </w:r>
      <w:r>
        <w:rPr>
          <w:rFonts w:hint="eastAsia" w:ascii="宋体" w:hAnsi="宋体" w:cs="宋体"/>
          <w:lang w:eastAsia="zh-CN"/>
        </w:rPr>
        <w:t>河北友联建筑材料股份有限公司环保设施改造提升项目</w:t>
      </w:r>
      <w:r>
        <w:rPr>
          <w:rFonts w:hint="eastAsia" w:ascii="宋体" w:hAnsi="宋体" w:eastAsia="宋体" w:cs="宋体"/>
        </w:rPr>
        <w:t>环境影响报告表》，并于</w:t>
      </w:r>
      <w:r>
        <w:rPr>
          <w:rFonts w:hint="eastAsia" w:ascii="宋体" w:hAnsi="宋体" w:cs="宋体"/>
          <w:lang w:eastAsia="zh-CN"/>
        </w:rPr>
        <w:t>2024年01月12日</w:t>
      </w:r>
      <w:r>
        <w:rPr>
          <w:rFonts w:hint="eastAsia" w:ascii="宋体" w:hAnsi="宋体" w:eastAsia="宋体" w:cs="宋体"/>
        </w:rPr>
        <w:t>取得</w:t>
      </w:r>
      <w:r>
        <w:rPr>
          <w:rFonts w:hint="eastAsia" w:ascii="宋体" w:hAnsi="宋体" w:cs="宋体"/>
          <w:lang w:eastAsia="zh-CN"/>
        </w:rPr>
        <w:t>张家口市行政审批局</w:t>
      </w:r>
      <w:r>
        <w:rPr>
          <w:rFonts w:hint="eastAsia" w:ascii="宋体" w:hAnsi="宋体" w:eastAsia="宋体" w:cs="宋体"/>
        </w:rPr>
        <w:t>关于项目环境影响报告表的审批意见（</w:t>
      </w:r>
      <w:r>
        <w:rPr>
          <w:rFonts w:hint="eastAsia" w:ascii="宋体" w:hAnsi="宋体" w:cs="宋体"/>
          <w:lang w:eastAsia="zh-CN"/>
        </w:rPr>
        <w:t>张行审立字【2024】71号</w:t>
      </w:r>
      <w:r>
        <w:rPr>
          <w:rFonts w:hint="eastAsia" w:ascii="宋体" w:hAnsi="宋体" w:eastAsia="宋体" w:cs="宋体"/>
        </w:rPr>
        <w:t>）。</w:t>
      </w:r>
    </w:p>
    <w:p>
      <w:pPr>
        <w:pStyle w:val="5"/>
        <w:rPr>
          <w:rFonts w:hint="eastAsia" w:ascii="宋体" w:hAnsi="宋体" w:eastAsia="宋体" w:cs="宋体"/>
        </w:rPr>
      </w:pPr>
      <w:bookmarkStart w:id="26" w:name="_Toc26180"/>
      <w:r>
        <w:rPr>
          <w:rFonts w:hint="eastAsia" w:ascii="宋体" w:hAnsi="宋体" w:eastAsia="宋体" w:cs="宋体"/>
        </w:rPr>
        <w:t>2.7 项目投资</w:t>
      </w:r>
      <w:bookmarkEnd w:id="26"/>
    </w:p>
    <w:p>
      <w:pPr>
        <w:ind w:firstLine="480"/>
        <w:rPr>
          <w:rFonts w:hint="eastAsia" w:ascii="宋体" w:hAnsi="宋体" w:eastAsia="宋体" w:cs="宋体"/>
        </w:rPr>
      </w:pPr>
      <w:r>
        <w:rPr>
          <w:rFonts w:hint="eastAsia" w:ascii="宋体" w:hAnsi="宋体" w:eastAsia="宋体" w:cs="宋体"/>
          <w:color w:val="000000"/>
        </w:rPr>
        <w:t>本项</w:t>
      </w:r>
      <w:r>
        <w:rPr>
          <w:rFonts w:hint="eastAsia" w:ascii="宋体" w:hAnsi="宋体" w:eastAsia="宋体" w:cs="宋体"/>
        </w:rPr>
        <w:t>目计划总投资</w:t>
      </w:r>
      <w:r>
        <w:rPr>
          <w:rFonts w:hint="eastAsia" w:ascii="宋体" w:hAnsi="宋体" w:cs="宋体"/>
          <w:lang w:val="en-US" w:eastAsia="zh-CN"/>
        </w:rPr>
        <w:t>100万元</w:t>
      </w:r>
      <w:r>
        <w:rPr>
          <w:rFonts w:hint="eastAsia" w:ascii="宋体" w:hAnsi="宋体" w:eastAsia="宋体" w:cs="宋体"/>
        </w:rPr>
        <w:t>，其中环保投资</w:t>
      </w:r>
      <w:r>
        <w:rPr>
          <w:rFonts w:hint="eastAsia" w:ascii="宋体" w:hAnsi="宋体" w:cs="宋体"/>
          <w:lang w:val="en-US" w:eastAsia="zh-CN"/>
        </w:rPr>
        <w:t>100万元</w:t>
      </w:r>
      <w:r>
        <w:rPr>
          <w:rFonts w:hint="eastAsia" w:ascii="宋体" w:hAnsi="宋体" w:eastAsia="宋体" w:cs="宋体"/>
        </w:rPr>
        <w:t>，占总投资的</w:t>
      </w:r>
      <w:r>
        <w:rPr>
          <w:rFonts w:hint="eastAsia" w:ascii="宋体" w:hAnsi="宋体" w:cs="宋体"/>
          <w:lang w:val="en-US" w:eastAsia="zh-CN"/>
        </w:rPr>
        <w:t>100%</w:t>
      </w:r>
      <w:r>
        <w:rPr>
          <w:rFonts w:hint="eastAsia" w:ascii="宋体" w:hAnsi="宋体" w:eastAsia="宋体" w:cs="宋体"/>
        </w:rPr>
        <w:t>。项目实际总投资</w:t>
      </w:r>
      <w:r>
        <w:rPr>
          <w:rFonts w:hint="eastAsia" w:ascii="宋体" w:hAnsi="宋体" w:cs="宋体"/>
          <w:lang w:val="en-US" w:eastAsia="zh-CN"/>
        </w:rPr>
        <w:t>100万元</w:t>
      </w:r>
      <w:r>
        <w:rPr>
          <w:rFonts w:hint="eastAsia" w:ascii="宋体" w:hAnsi="宋体" w:eastAsia="宋体" w:cs="宋体"/>
        </w:rPr>
        <w:t>，其中环保投资</w:t>
      </w:r>
      <w:r>
        <w:rPr>
          <w:rFonts w:hint="eastAsia" w:ascii="宋体" w:hAnsi="宋体" w:cs="宋体"/>
          <w:lang w:val="en-US" w:eastAsia="zh-CN"/>
        </w:rPr>
        <w:t>100万元</w:t>
      </w:r>
      <w:r>
        <w:rPr>
          <w:rFonts w:hint="eastAsia" w:ascii="宋体" w:hAnsi="宋体" w:eastAsia="宋体" w:cs="宋体"/>
        </w:rPr>
        <w:t>，占总投资的</w:t>
      </w:r>
      <w:r>
        <w:rPr>
          <w:rFonts w:hint="eastAsia" w:ascii="宋体" w:hAnsi="宋体" w:cs="宋体"/>
          <w:lang w:val="en-US" w:eastAsia="zh-CN"/>
        </w:rPr>
        <w:t>100%</w:t>
      </w:r>
      <w:r>
        <w:rPr>
          <w:rFonts w:hint="eastAsia" w:ascii="宋体" w:hAnsi="宋体" w:eastAsia="宋体" w:cs="宋体"/>
        </w:rPr>
        <w:t>。</w:t>
      </w:r>
    </w:p>
    <w:p>
      <w:pPr>
        <w:pStyle w:val="5"/>
        <w:rPr>
          <w:rFonts w:hint="eastAsia" w:ascii="宋体" w:hAnsi="宋体" w:eastAsia="宋体" w:cs="宋体"/>
        </w:rPr>
      </w:pPr>
      <w:bookmarkStart w:id="27" w:name="_Toc28562"/>
      <w:r>
        <w:rPr>
          <w:rFonts w:hint="eastAsia" w:ascii="宋体" w:hAnsi="宋体" w:eastAsia="宋体" w:cs="宋体"/>
        </w:rPr>
        <w:t>2.8项目变动情况</w:t>
      </w:r>
      <w:bookmarkEnd w:id="21"/>
      <w:bookmarkEnd w:id="27"/>
    </w:p>
    <w:bookmarkEnd w:id="22"/>
    <w:bookmarkEnd w:id="23"/>
    <w:p>
      <w:pPr>
        <w:ind w:firstLine="480"/>
        <w:rPr>
          <w:rFonts w:hint="eastAsia" w:ascii="宋体" w:hAnsi="宋体" w:eastAsia="宋体" w:cs="宋体"/>
        </w:rPr>
      </w:pPr>
      <w:bookmarkStart w:id="28" w:name="_Toc30083316"/>
      <w:r>
        <w:rPr>
          <w:rFonts w:hint="eastAsia" w:ascii="宋体" w:hAnsi="宋体" w:eastAsia="宋体" w:cs="宋体"/>
        </w:rPr>
        <w:t>经现场调查和建设单位核实，项目建设内容与</w:t>
      </w:r>
      <w:r>
        <w:rPr>
          <w:rFonts w:hint="eastAsia" w:ascii="宋体" w:hAnsi="宋体" w:cs="宋体"/>
          <w:lang w:val="en-US" w:eastAsia="zh-CN"/>
        </w:rPr>
        <w:t>环评</w:t>
      </w:r>
      <w:r>
        <w:rPr>
          <w:rFonts w:hint="eastAsia" w:ascii="宋体" w:hAnsi="宋体" w:eastAsia="宋体" w:cs="宋体"/>
        </w:rPr>
        <w:t>报告表基本一致，</w:t>
      </w:r>
      <w:r>
        <w:rPr>
          <w:rFonts w:hint="eastAsia" w:ascii="宋体" w:hAnsi="宋体" w:cs="宋体"/>
          <w:lang w:val="en-US" w:eastAsia="zh-CN"/>
        </w:rPr>
        <w:t>无</w:t>
      </w:r>
      <w:r>
        <w:rPr>
          <w:rFonts w:hint="eastAsia" w:ascii="宋体" w:hAnsi="宋体" w:eastAsia="宋体" w:cs="宋体"/>
        </w:rPr>
        <w:t>重大变更。</w:t>
      </w:r>
    </w:p>
    <w:p>
      <w:pPr>
        <w:pStyle w:val="5"/>
        <w:rPr>
          <w:rFonts w:hint="eastAsia" w:ascii="宋体" w:hAnsi="宋体" w:eastAsia="宋体" w:cs="宋体"/>
        </w:rPr>
      </w:pPr>
      <w:bookmarkStart w:id="29" w:name="_Toc8757"/>
      <w:r>
        <w:rPr>
          <w:rFonts w:hint="eastAsia" w:ascii="宋体" w:hAnsi="宋体" w:eastAsia="宋体" w:cs="宋体"/>
        </w:rPr>
        <w:t>2.9环境保护“三同时”落实情况</w:t>
      </w:r>
      <w:bookmarkEnd w:id="29"/>
    </w:p>
    <w:p>
      <w:pPr>
        <w:ind w:firstLine="480"/>
        <w:rPr>
          <w:rFonts w:hint="eastAsia" w:ascii="宋体" w:hAnsi="宋体" w:eastAsia="宋体" w:cs="宋体"/>
        </w:rPr>
      </w:pPr>
      <w:r>
        <w:rPr>
          <w:rFonts w:hint="eastAsia" w:ascii="宋体" w:hAnsi="宋体" w:eastAsia="宋体" w:cs="宋体"/>
        </w:rPr>
        <w:t xml:space="preserve"> 本项目环境影响报告表及批复阶段要求建设内容“三同时”情况落实见表2-6。</w:t>
      </w:r>
    </w:p>
    <w:p>
      <w:pPr>
        <w:pStyle w:val="110"/>
        <w:rPr>
          <w:rFonts w:hint="eastAsia" w:ascii="宋体" w:hAnsi="宋体" w:eastAsia="宋体" w:cs="宋体"/>
        </w:rPr>
      </w:pPr>
      <w:r>
        <w:rPr>
          <w:rFonts w:hint="eastAsia" w:ascii="宋体" w:hAnsi="宋体" w:eastAsia="宋体" w:cs="宋体"/>
        </w:rPr>
        <w:t>表2-6     项目三同时落实情况一览表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80"/>
        <w:gridCol w:w="1855"/>
        <w:gridCol w:w="2011"/>
        <w:gridCol w:w="1754"/>
        <w:gridCol w:w="232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40" w:type="pct"/>
            <w:vAlign w:val="center"/>
          </w:tcPr>
          <w:p>
            <w:pPr>
              <w:pStyle w:val="112"/>
              <w:rPr>
                <w:rFonts w:hint="eastAsia" w:ascii="宋体" w:hAnsi="宋体" w:eastAsia="宋体" w:cs="宋体"/>
              </w:rPr>
            </w:pPr>
            <w:r>
              <w:rPr>
                <w:rFonts w:hint="eastAsia" w:ascii="宋体" w:hAnsi="宋体" w:eastAsia="宋体" w:cs="宋体"/>
              </w:rPr>
              <w:t>类别</w:t>
            </w:r>
          </w:p>
        </w:tc>
        <w:tc>
          <w:tcPr>
            <w:tcW w:w="1088" w:type="pct"/>
            <w:vAlign w:val="center"/>
          </w:tcPr>
          <w:p>
            <w:pPr>
              <w:pStyle w:val="112"/>
              <w:rPr>
                <w:rFonts w:hint="eastAsia" w:ascii="宋体" w:hAnsi="宋体" w:eastAsia="宋体" w:cs="宋体"/>
              </w:rPr>
            </w:pPr>
            <w:r>
              <w:rPr>
                <w:rFonts w:hint="eastAsia" w:ascii="宋体" w:hAnsi="宋体" w:eastAsia="宋体" w:cs="宋体"/>
              </w:rPr>
              <w:t>污染源</w:t>
            </w:r>
          </w:p>
        </w:tc>
        <w:tc>
          <w:tcPr>
            <w:tcW w:w="1179" w:type="pct"/>
            <w:vAlign w:val="center"/>
          </w:tcPr>
          <w:p>
            <w:pPr>
              <w:pStyle w:val="112"/>
              <w:rPr>
                <w:rFonts w:hint="eastAsia" w:ascii="宋体" w:hAnsi="宋体" w:eastAsia="宋体" w:cs="宋体"/>
              </w:rPr>
            </w:pPr>
            <w:r>
              <w:rPr>
                <w:rFonts w:hint="eastAsia" w:ascii="宋体" w:hAnsi="宋体" w:eastAsia="宋体" w:cs="宋体"/>
              </w:rPr>
              <w:t>环评措施</w:t>
            </w:r>
          </w:p>
        </w:tc>
        <w:tc>
          <w:tcPr>
            <w:tcW w:w="1029" w:type="pct"/>
            <w:vAlign w:val="center"/>
          </w:tcPr>
          <w:p>
            <w:pPr>
              <w:pStyle w:val="112"/>
              <w:rPr>
                <w:rFonts w:hint="eastAsia" w:ascii="宋体" w:hAnsi="宋体" w:eastAsia="宋体" w:cs="宋体"/>
              </w:rPr>
            </w:pPr>
            <w:r>
              <w:rPr>
                <w:rFonts w:hint="eastAsia" w:ascii="宋体" w:hAnsi="宋体" w:eastAsia="宋体" w:cs="宋体"/>
              </w:rPr>
              <w:t>验收标准</w:t>
            </w:r>
          </w:p>
        </w:tc>
        <w:tc>
          <w:tcPr>
            <w:tcW w:w="1362" w:type="pct"/>
            <w:vAlign w:val="center"/>
          </w:tcPr>
          <w:p>
            <w:pPr>
              <w:pStyle w:val="112"/>
              <w:rPr>
                <w:rFonts w:hint="eastAsia" w:ascii="宋体" w:hAnsi="宋体" w:eastAsia="宋体" w:cs="宋体"/>
              </w:rPr>
            </w:pPr>
            <w:r>
              <w:rPr>
                <w:rFonts w:hint="eastAsia" w:ascii="宋体" w:hAnsi="宋体" w:eastAsia="宋体" w:cs="宋体"/>
              </w:rPr>
              <w:t>落实情况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69" w:hRule="atLeast"/>
          <w:jc w:val="center"/>
        </w:trPr>
        <w:tc>
          <w:tcPr>
            <w:tcW w:w="340" w:type="pct"/>
            <w:vMerge w:val="restart"/>
            <w:vAlign w:val="center"/>
          </w:tcPr>
          <w:p>
            <w:pPr>
              <w:pStyle w:val="112"/>
              <w:rPr>
                <w:rFonts w:hint="eastAsia" w:ascii="宋体" w:hAnsi="宋体" w:eastAsia="宋体" w:cs="宋体"/>
              </w:rPr>
            </w:pPr>
            <w:r>
              <w:rPr>
                <w:rFonts w:hint="eastAsia" w:ascii="宋体" w:hAnsi="宋体" w:eastAsia="宋体" w:cs="宋体"/>
              </w:rPr>
              <w:t>废气</w:t>
            </w:r>
          </w:p>
        </w:tc>
        <w:tc>
          <w:tcPr>
            <w:tcW w:w="1088" w:type="pct"/>
            <w:vAlign w:val="center"/>
          </w:tcPr>
          <w:p>
            <w:pPr>
              <w:pStyle w:val="112"/>
              <w:rPr>
                <w:rFonts w:hint="eastAsia" w:ascii="宋体" w:hAnsi="宋体" w:eastAsia="宋体" w:cs="宋体"/>
              </w:rPr>
            </w:pPr>
            <w:r>
              <w:rPr>
                <w:rFonts w:hint="eastAsia" w:ascii="宋体" w:hAnsi="宋体" w:cs="宋体"/>
                <w:lang w:eastAsia="zh-CN"/>
              </w:rPr>
              <w:t>120</w:t>
            </w:r>
            <w:r>
              <w:rPr>
                <w:rFonts w:hint="eastAsia" w:ascii="宋体" w:hAnsi="宋体" w:eastAsia="宋体" w:cs="宋体"/>
              </w:rPr>
              <w:t>型搅拌机排气筒DA001</w:t>
            </w:r>
          </w:p>
        </w:tc>
        <w:tc>
          <w:tcPr>
            <w:tcW w:w="1179" w:type="pct"/>
            <w:vAlign w:val="center"/>
          </w:tcPr>
          <w:p>
            <w:pPr>
              <w:pStyle w:val="112"/>
              <w:rPr>
                <w:rFonts w:hint="eastAsia" w:ascii="宋体" w:hAnsi="宋体" w:eastAsia="宋体" w:cs="宋体"/>
              </w:rPr>
            </w:pPr>
            <w:r>
              <w:rPr>
                <w:rFonts w:hint="eastAsia" w:ascii="宋体" w:hAnsi="宋体" w:eastAsia="宋体" w:cs="宋体"/>
              </w:rPr>
              <w:t>袋式除尘器，15m高排气筒</w:t>
            </w:r>
          </w:p>
        </w:tc>
        <w:tc>
          <w:tcPr>
            <w:tcW w:w="1029" w:type="pct"/>
            <w:vMerge w:val="restart"/>
            <w:vAlign w:val="center"/>
          </w:tcPr>
          <w:p>
            <w:pPr>
              <w:pStyle w:val="112"/>
              <w:rPr>
                <w:rFonts w:hint="eastAsia" w:ascii="宋体" w:hAnsi="宋体" w:eastAsia="宋体" w:cs="宋体"/>
              </w:rPr>
            </w:pPr>
            <w:r>
              <w:rPr>
                <w:rFonts w:hint="eastAsia" w:ascii="宋体" w:hAnsi="宋体" w:eastAsia="宋体" w:cs="宋体"/>
              </w:rPr>
              <w:t>《水泥工业大气污染物超低排放标准》（DB13/2167-2020）表1大气污染物最高允许排放浓度限值 散装水泥中转站及水泥制品生产水泥仓及其他通风生产设备：颗粒物排放浓度≤10mg/m</w:t>
            </w:r>
            <w:r>
              <w:rPr>
                <w:rFonts w:hint="eastAsia" w:ascii="宋体" w:hAnsi="宋体" w:eastAsia="宋体" w:cs="宋体"/>
                <w:vertAlign w:val="superscript"/>
              </w:rPr>
              <w:t>3</w:t>
            </w:r>
          </w:p>
        </w:tc>
        <w:tc>
          <w:tcPr>
            <w:tcW w:w="1362" w:type="pct"/>
            <w:vMerge w:val="restart"/>
            <w:vAlign w:val="center"/>
          </w:tcPr>
          <w:p>
            <w:pPr>
              <w:pStyle w:val="112"/>
              <w:rPr>
                <w:rFonts w:hint="eastAsia" w:ascii="宋体" w:hAnsi="宋体" w:eastAsia="宋体" w:cs="宋体"/>
              </w:rPr>
            </w:pPr>
            <w:r>
              <w:rPr>
                <w:rFonts w:hint="eastAsia" w:ascii="宋体" w:hAnsi="宋体" w:eastAsia="宋体" w:cs="宋体"/>
              </w:rPr>
              <w:t>本项目搅拌机组已按照环评要求装设除尘设施，但由于冬季公司处于停产状态，因此项目污染源无法满足验收监测条件，待项目后期正常运行后，对废气污染源进行补充监测。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77" w:hRule="atLeast"/>
          <w:jc w:val="center"/>
        </w:trPr>
        <w:tc>
          <w:tcPr>
            <w:tcW w:w="340" w:type="pct"/>
            <w:vMerge w:val="continue"/>
            <w:vAlign w:val="center"/>
          </w:tcPr>
          <w:p>
            <w:pPr>
              <w:pStyle w:val="112"/>
              <w:rPr>
                <w:rFonts w:hint="eastAsia" w:ascii="宋体" w:hAnsi="宋体" w:eastAsia="宋体" w:cs="宋体"/>
              </w:rPr>
            </w:pPr>
          </w:p>
        </w:tc>
        <w:tc>
          <w:tcPr>
            <w:tcW w:w="1088" w:type="pct"/>
            <w:vAlign w:val="center"/>
          </w:tcPr>
          <w:p>
            <w:pPr>
              <w:pStyle w:val="112"/>
              <w:rPr>
                <w:rFonts w:hint="eastAsia" w:ascii="宋体" w:hAnsi="宋体" w:eastAsia="宋体" w:cs="宋体"/>
              </w:rPr>
            </w:pPr>
            <w:r>
              <w:rPr>
                <w:rFonts w:hint="eastAsia" w:ascii="宋体" w:hAnsi="宋体" w:cs="宋体"/>
                <w:lang w:eastAsia="zh-CN"/>
              </w:rPr>
              <w:t>120</w:t>
            </w:r>
            <w:r>
              <w:rPr>
                <w:rFonts w:hint="eastAsia" w:ascii="宋体" w:hAnsi="宋体" w:eastAsia="宋体" w:cs="宋体"/>
              </w:rPr>
              <w:t>型搅拌机排气筒DA002</w:t>
            </w:r>
          </w:p>
        </w:tc>
        <w:tc>
          <w:tcPr>
            <w:tcW w:w="1179" w:type="pct"/>
            <w:vAlign w:val="center"/>
          </w:tcPr>
          <w:p>
            <w:pPr>
              <w:pStyle w:val="112"/>
              <w:rPr>
                <w:rFonts w:hint="eastAsia" w:ascii="宋体" w:hAnsi="宋体" w:eastAsia="宋体" w:cs="宋体"/>
              </w:rPr>
            </w:pPr>
            <w:r>
              <w:rPr>
                <w:rFonts w:hint="eastAsia" w:ascii="宋体" w:hAnsi="宋体" w:eastAsia="宋体" w:cs="宋体"/>
              </w:rPr>
              <w:t>袋式除尘器，15m高排气筒</w:t>
            </w:r>
          </w:p>
        </w:tc>
        <w:tc>
          <w:tcPr>
            <w:tcW w:w="1029" w:type="pct"/>
            <w:vMerge w:val="continue"/>
            <w:vAlign w:val="center"/>
          </w:tcPr>
          <w:p>
            <w:pPr>
              <w:pStyle w:val="112"/>
              <w:rPr>
                <w:rFonts w:hint="eastAsia" w:ascii="宋体" w:hAnsi="宋体" w:eastAsia="宋体" w:cs="宋体"/>
              </w:rPr>
            </w:pPr>
          </w:p>
        </w:tc>
        <w:tc>
          <w:tcPr>
            <w:tcW w:w="1362" w:type="pct"/>
            <w:vMerge w:val="continue"/>
            <w:vAlign w:val="center"/>
          </w:tcPr>
          <w:p>
            <w:pPr>
              <w:pStyle w:val="11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77" w:hRule="atLeast"/>
          <w:jc w:val="center"/>
        </w:trPr>
        <w:tc>
          <w:tcPr>
            <w:tcW w:w="340" w:type="pct"/>
            <w:vMerge w:val="continue"/>
            <w:vAlign w:val="center"/>
          </w:tcPr>
          <w:p>
            <w:pPr>
              <w:pStyle w:val="112"/>
              <w:rPr>
                <w:rFonts w:hint="eastAsia" w:ascii="宋体" w:hAnsi="宋体" w:eastAsia="宋体" w:cs="宋体"/>
              </w:rPr>
            </w:pPr>
          </w:p>
        </w:tc>
        <w:tc>
          <w:tcPr>
            <w:tcW w:w="1088" w:type="pct"/>
            <w:vAlign w:val="center"/>
          </w:tcPr>
          <w:p>
            <w:pPr>
              <w:pStyle w:val="112"/>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预拌干粉砂浆</w:t>
            </w:r>
          </w:p>
          <w:p>
            <w:pPr>
              <w:pStyle w:val="112"/>
              <w:rPr>
                <w:rFonts w:hint="eastAsia" w:ascii="Times New Roman" w:hAnsi="Times New Roman" w:eastAsia="宋体" w:cs="Times New Roman"/>
                <w:color w:val="auto"/>
                <w:sz w:val="21"/>
                <w:szCs w:val="21"/>
                <w:lang w:val="en-US" w:eastAsia="zh-CN"/>
              </w:rPr>
            </w:pPr>
            <w:r>
              <w:rPr>
                <w:rFonts w:hint="eastAsia" w:ascii="宋体" w:hAnsi="宋体" w:eastAsia="宋体" w:cs="宋体"/>
              </w:rPr>
              <w:t>DA00</w:t>
            </w:r>
            <w:r>
              <w:rPr>
                <w:rFonts w:hint="eastAsia" w:ascii="宋体" w:hAnsi="宋体" w:eastAsia="宋体" w:cs="宋体"/>
                <w:lang w:val="en-US" w:eastAsia="zh-CN"/>
              </w:rPr>
              <w:t>3</w:t>
            </w:r>
          </w:p>
        </w:tc>
        <w:tc>
          <w:tcPr>
            <w:tcW w:w="1179" w:type="pct"/>
            <w:vAlign w:val="center"/>
          </w:tcPr>
          <w:p>
            <w:pPr>
              <w:pStyle w:val="112"/>
              <w:rPr>
                <w:rFonts w:hint="eastAsia" w:ascii="宋体" w:hAnsi="宋体" w:eastAsia="宋体" w:cs="宋体"/>
              </w:rPr>
            </w:pPr>
            <w:r>
              <w:rPr>
                <w:rFonts w:hint="eastAsia" w:ascii="宋体" w:hAnsi="宋体" w:eastAsia="宋体" w:cs="宋体"/>
              </w:rPr>
              <w:t>袋式除尘器，15m高排气筒</w:t>
            </w:r>
          </w:p>
        </w:tc>
        <w:tc>
          <w:tcPr>
            <w:tcW w:w="1029" w:type="pct"/>
            <w:vMerge w:val="continue"/>
            <w:vAlign w:val="center"/>
          </w:tcPr>
          <w:p>
            <w:pPr>
              <w:pStyle w:val="112"/>
              <w:rPr>
                <w:rFonts w:hint="eastAsia" w:ascii="宋体" w:hAnsi="宋体" w:eastAsia="宋体" w:cs="宋体"/>
              </w:rPr>
            </w:pPr>
          </w:p>
        </w:tc>
        <w:tc>
          <w:tcPr>
            <w:tcW w:w="1362" w:type="pct"/>
            <w:vAlign w:val="center"/>
          </w:tcPr>
          <w:p>
            <w:pPr>
              <w:pStyle w:val="11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40" w:type="pct"/>
            <w:vMerge w:val="continue"/>
            <w:vAlign w:val="center"/>
          </w:tcPr>
          <w:p>
            <w:pPr>
              <w:pStyle w:val="112"/>
              <w:rPr>
                <w:rFonts w:hint="eastAsia" w:ascii="宋体" w:hAnsi="宋体" w:eastAsia="宋体" w:cs="宋体"/>
              </w:rPr>
            </w:pPr>
          </w:p>
        </w:tc>
        <w:tc>
          <w:tcPr>
            <w:tcW w:w="1088" w:type="pct"/>
            <w:vAlign w:val="center"/>
          </w:tcPr>
          <w:p>
            <w:pPr>
              <w:pStyle w:val="112"/>
              <w:rPr>
                <w:rFonts w:hint="eastAsia" w:ascii="宋体" w:hAnsi="宋体" w:eastAsia="宋体" w:cs="宋体"/>
                <w:lang w:eastAsia="zh-CN"/>
              </w:rPr>
            </w:pPr>
            <w:r>
              <w:rPr>
                <w:rFonts w:hint="eastAsia" w:ascii="宋体" w:hAnsi="宋体" w:eastAsia="宋体" w:cs="宋体"/>
                <w:lang w:eastAsia="zh-CN"/>
              </w:rPr>
              <w:t>筒仓呼吸</w:t>
            </w:r>
          </w:p>
          <w:p>
            <w:pPr>
              <w:pStyle w:val="112"/>
              <w:rPr>
                <w:rFonts w:hint="eastAsia" w:ascii="宋体" w:hAnsi="宋体" w:eastAsia="宋体" w:cs="宋体"/>
              </w:rPr>
            </w:pPr>
            <w:r>
              <w:rPr>
                <w:rFonts w:hint="eastAsia" w:ascii="宋体" w:hAnsi="宋体" w:eastAsia="宋体" w:cs="宋体"/>
                <w:lang w:eastAsia="zh-CN"/>
              </w:rPr>
              <w:t>废气</w:t>
            </w:r>
          </w:p>
        </w:tc>
        <w:tc>
          <w:tcPr>
            <w:tcW w:w="1179" w:type="pct"/>
            <w:vAlign w:val="center"/>
          </w:tcPr>
          <w:p>
            <w:pPr>
              <w:pStyle w:val="112"/>
              <w:rPr>
                <w:rFonts w:hint="eastAsia" w:ascii="宋体" w:hAnsi="宋体" w:eastAsia="宋体" w:cs="宋体"/>
              </w:rPr>
            </w:pPr>
            <w:r>
              <w:rPr>
                <w:rFonts w:hint="eastAsia" w:ascii="宋体" w:hAnsi="宋体" w:cs="宋体"/>
                <w:lang w:val="en-US" w:eastAsia="zh-CN"/>
              </w:rPr>
              <w:t>混凝土生产配套8个筒仓，经筒仓顶部分别配套的除尘设施处理后排放口高度不低于15米排放；预拌干粉砂浆配套5个筒仓，每3座粉料罐仓顶呼吸口通过管道连接后共用一台除尘器，2座储料罐仓顶呼吸口通过管道连接后共用一台除尘器，共设置两台除尘器。呼吸粉尘经除尘器处理后通过不低于15m高排气筒排放</w:t>
            </w:r>
          </w:p>
        </w:tc>
        <w:tc>
          <w:tcPr>
            <w:tcW w:w="1029" w:type="pct"/>
            <w:vMerge w:val="continue"/>
            <w:vAlign w:val="center"/>
          </w:tcPr>
          <w:p>
            <w:pPr>
              <w:pStyle w:val="112"/>
              <w:rPr>
                <w:rFonts w:hint="eastAsia" w:ascii="宋体" w:hAnsi="宋体" w:eastAsia="宋体" w:cs="宋体"/>
              </w:rPr>
            </w:pPr>
          </w:p>
        </w:tc>
        <w:tc>
          <w:tcPr>
            <w:tcW w:w="1362" w:type="pct"/>
            <w:vAlign w:val="center"/>
          </w:tcPr>
          <w:p>
            <w:pPr>
              <w:pStyle w:val="112"/>
              <w:rPr>
                <w:rFonts w:hint="eastAsia" w:ascii="宋体" w:hAnsi="宋体" w:eastAsia="宋体" w:cs="宋体"/>
              </w:rPr>
            </w:pPr>
            <w:r>
              <w:rPr>
                <w:rFonts w:hint="eastAsia" w:ascii="宋体" w:hAnsi="宋体" w:eastAsia="宋体" w:cs="宋体"/>
              </w:rPr>
              <w:t>已落实，项目筒仓为密闭筒仓，仓内负压工作环境，粉料入仓粉尘经仓顶脉冲式除尘器收集，</w:t>
            </w:r>
            <w:r>
              <w:rPr>
                <w:rFonts w:hint="eastAsia" w:ascii="宋体" w:hAnsi="宋体" w:eastAsia="宋体" w:cs="宋体"/>
                <w:bCs/>
              </w:rPr>
              <w:t>经脉冲震荡后回落于料筒中用于产品，筒仓废气为瞬时排放，不具备监测条件。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38" w:hRule="atLeast"/>
          <w:jc w:val="center"/>
        </w:trPr>
        <w:tc>
          <w:tcPr>
            <w:tcW w:w="340" w:type="pct"/>
            <w:vMerge w:val="continue"/>
            <w:vAlign w:val="center"/>
          </w:tcPr>
          <w:p>
            <w:pPr>
              <w:pStyle w:val="112"/>
              <w:rPr>
                <w:rFonts w:hint="eastAsia" w:ascii="宋体" w:hAnsi="宋体" w:eastAsia="宋体" w:cs="宋体"/>
              </w:rPr>
            </w:pPr>
          </w:p>
        </w:tc>
        <w:tc>
          <w:tcPr>
            <w:tcW w:w="1088" w:type="pct"/>
            <w:vAlign w:val="center"/>
          </w:tcPr>
          <w:p>
            <w:pPr>
              <w:pStyle w:val="112"/>
              <w:rPr>
                <w:rFonts w:hint="eastAsia" w:ascii="宋体" w:hAnsi="宋体" w:eastAsia="宋体" w:cs="宋体"/>
              </w:rPr>
            </w:pPr>
            <w:r>
              <w:rPr>
                <w:rFonts w:hint="eastAsia" w:ascii="宋体" w:hAnsi="宋体" w:eastAsia="宋体" w:cs="宋体"/>
                <w:bCs/>
              </w:rPr>
              <w:t>厂界废气</w:t>
            </w:r>
          </w:p>
        </w:tc>
        <w:tc>
          <w:tcPr>
            <w:tcW w:w="1179" w:type="pct"/>
            <w:vAlign w:val="center"/>
          </w:tcPr>
          <w:p>
            <w:pPr>
              <w:pStyle w:val="112"/>
              <w:rPr>
                <w:rFonts w:hint="eastAsia" w:ascii="宋体" w:hAnsi="宋体" w:eastAsia="宋体" w:cs="宋体"/>
              </w:rPr>
            </w:pPr>
            <w:r>
              <w:rPr>
                <w:rFonts w:hint="eastAsia" w:ascii="宋体" w:hAnsi="宋体" w:eastAsia="宋体" w:cs="宋体"/>
                <w:bCs/>
              </w:rPr>
              <w:t>原料库密闭，喷淋洒水；厂区地面采取硬化措施，</w:t>
            </w:r>
            <w:r>
              <w:rPr>
                <w:rFonts w:hint="eastAsia" w:ascii="宋体" w:hAnsi="宋体" w:eastAsia="宋体" w:cs="宋体"/>
              </w:rPr>
              <w:t>并定时洒水清扫</w:t>
            </w:r>
            <w:r>
              <w:rPr>
                <w:rFonts w:hint="eastAsia" w:ascii="宋体" w:hAnsi="宋体" w:eastAsia="宋体" w:cs="宋体"/>
                <w:bCs/>
              </w:rPr>
              <w:t>；采用密闭传送带</w:t>
            </w:r>
          </w:p>
        </w:tc>
        <w:tc>
          <w:tcPr>
            <w:tcW w:w="1029" w:type="pct"/>
            <w:vAlign w:val="center"/>
          </w:tcPr>
          <w:p>
            <w:pPr>
              <w:pStyle w:val="112"/>
              <w:rPr>
                <w:rFonts w:hint="eastAsia" w:ascii="宋体" w:hAnsi="宋体" w:eastAsia="宋体" w:cs="宋体"/>
              </w:rPr>
            </w:pPr>
            <w:r>
              <w:rPr>
                <w:rFonts w:hint="eastAsia" w:ascii="宋体" w:hAnsi="宋体" w:eastAsia="宋体" w:cs="宋体"/>
              </w:rPr>
              <w:t>《水泥工业大气污染物超低排放标准》（DB13/2167-2020）表2大气污染物无组织排放限值：颗粒物≤0.5mg/m</w:t>
            </w:r>
            <w:r>
              <w:rPr>
                <w:rFonts w:hint="eastAsia" w:ascii="宋体" w:hAnsi="宋体" w:eastAsia="宋体" w:cs="宋体"/>
                <w:vertAlign w:val="superscript"/>
              </w:rPr>
              <w:t>3</w:t>
            </w:r>
          </w:p>
        </w:tc>
        <w:tc>
          <w:tcPr>
            <w:tcW w:w="1362" w:type="pct"/>
            <w:vAlign w:val="center"/>
          </w:tcPr>
          <w:p>
            <w:pPr>
              <w:pStyle w:val="112"/>
              <w:rPr>
                <w:rFonts w:hint="eastAsia" w:ascii="宋体" w:hAnsi="宋体" w:eastAsia="宋体" w:cs="宋体"/>
              </w:rPr>
            </w:pPr>
            <w:r>
              <w:rPr>
                <w:rFonts w:hint="eastAsia" w:ascii="宋体" w:hAnsi="宋体" w:eastAsia="宋体" w:cs="宋体"/>
              </w:rPr>
              <w:t>本项目已按照环评要求对</w:t>
            </w:r>
            <w:r>
              <w:rPr>
                <w:rFonts w:hint="eastAsia" w:ascii="宋体" w:hAnsi="宋体" w:eastAsia="宋体" w:cs="宋体"/>
                <w:bCs/>
              </w:rPr>
              <w:t>原料库密闭，喷淋洒水；厂区地面采取硬化措施，</w:t>
            </w:r>
            <w:r>
              <w:rPr>
                <w:rFonts w:hint="eastAsia" w:ascii="宋体" w:hAnsi="宋体" w:eastAsia="宋体" w:cs="宋体"/>
              </w:rPr>
              <w:t>并定时洒水清扫</w:t>
            </w:r>
            <w:r>
              <w:rPr>
                <w:rFonts w:hint="eastAsia" w:ascii="宋体" w:hAnsi="宋体" w:eastAsia="宋体" w:cs="宋体"/>
                <w:bCs/>
              </w:rPr>
              <w:t>；采用密闭传送带</w:t>
            </w:r>
            <w:r>
              <w:rPr>
                <w:rFonts w:hint="eastAsia" w:ascii="宋体" w:hAnsi="宋体" w:eastAsia="宋体" w:cs="宋体"/>
              </w:rPr>
              <w:t>，但由于冬季公司处于停产状态，因此厂界废气无法满足验收监测条件要求，待项目后期正常运行后，对厂界废气进行补充监测。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28" w:hRule="atLeast"/>
          <w:jc w:val="center"/>
        </w:trPr>
        <w:tc>
          <w:tcPr>
            <w:tcW w:w="340" w:type="pct"/>
            <w:vMerge w:val="restart"/>
            <w:vAlign w:val="center"/>
          </w:tcPr>
          <w:p>
            <w:pPr>
              <w:pStyle w:val="112"/>
              <w:rPr>
                <w:rFonts w:hint="eastAsia" w:ascii="宋体" w:hAnsi="宋体" w:eastAsia="宋体" w:cs="宋体"/>
              </w:rPr>
            </w:pPr>
            <w:r>
              <w:rPr>
                <w:rFonts w:hint="eastAsia" w:ascii="宋体" w:hAnsi="宋体" w:eastAsia="宋体" w:cs="宋体"/>
              </w:rPr>
              <w:t>废水</w:t>
            </w:r>
          </w:p>
        </w:tc>
        <w:tc>
          <w:tcPr>
            <w:tcW w:w="1088" w:type="pct"/>
            <w:vAlign w:val="center"/>
          </w:tcPr>
          <w:p>
            <w:pPr>
              <w:pStyle w:val="112"/>
              <w:rPr>
                <w:rFonts w:hint="eastAsia" w:ascii="宋体" w:hAnsi="宋体" w:eastAsia="宋体" w:cs="宋体"/>
              </w:rPr>
            </w:pPr>
            <w:r>
              <w:rPr>
                <w:rFonts w:hint="eastAsia" w:ascii="宋体" w:hAnsi="宋体" w:eastAsia="宋体" w:cs="宋体"/>
              </w:rPr>
              <w:t>生活污水</w:t>
            </w:r>
          </w:p>
        </w:tc>
        <w:tc>
          <w:tcPr>
            <w:tcW w:w="1179" w:type="pct"/>
            <w:vAlign w:val="center"/>
          </w:tcPr>
          <w:p>
            <w:pPr>
              <w:pStyle w:val="112"/>
              <w:rPr>
                <w:rFonts w:hint="eastAsia" w:ascii="宋体" w:hAnsi="宋体" w:eastAsia="宋体" w:cs="宋体"/>
              </w:rPr>
            </w:pPr>
            <w:r>
              <w:rPr>
                <w:rFonts w:hint="eastAsia" w:ascii="宋体" w:hAnsi="宋体" w:eastAsia="宋体" w:cs="宋体"/>
              </w:rPr>
              <w:t>盥洗废水用于厂区泼洒抑尘，职工使用厂区防渗旱厕，旱厕定期清掏</w:t>
            </w:r>
          </w:p>
        </w:tc>
        <w:tc>
          <w:tcPr>
            <w:tcW w:w="1029" w:type="pct"/>
            <w:vAlign w:val="center"/>
          </w:tcPr>
          <w:p>
            <w:pPr>
              <w:pStyle w:val="112"/>
              <w:rPr>
                <w:rFonts w:hint="eastAsia" w:ascii="宋体" w:hAnsi="宋体" w:eastAsia="宋体" w:cs="宋体"/>
              </w:rPr>
            </w:pPr>
            <w:r>
              <w:rPr>
                <w:rFonts w:hint="eastAsia" w:ascii="宋体" w:hAnsi="宋体" w:eastAsia="宋体" w:cs="宋体"/>
              </w:rPr>
              <w:t>/</w:t>
            </w:r>
          </w:p>
        </w:tc>
        <w:tc>
          <w:tcPr>
            <w:tcW w:w="1362" w:type="pct"/>
            <w:vAlign w:val="center"/>
          </w:tcPr>
          <w:p>
            <w:pPr>
              <w:pStyle w:val="112"/>
              <w:rPr>
                <w:rFonts w:hint="eastAsia" w:ascii="宋体" w:hAnsi="宋体" w:eastAsia="宋体" w:cs="宋体"/>
              </w:rPr>
            </w:pPr>
            <w:r>
              <w:rPr>
                <w:rFonts w:hint="eastAsia" w:ascii="宋体" w:hAnsi="宋体" w:eastAsia="宋体" w:cs="宋体"/>
              </w:rPr>
              <w:t>已落实，防渗旱厕定期清掏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91" w:hRule="atLeast"/>
          <w:jc w:val="center"/>
        </w:trPr>
        <w:tc>
          <w:tcPr>
            <w:tcW w:w="340" w:type="pct"/>
            <w:vMerge w:val="continue"/>
            <w:vAlign w:val="center"/>
          </w:tcPr>
          <w:p>
            <w:pPr>
              <w:pStyle w:val="112"/>
              <w:rPr>
                <w:rFonts w:hint="eastAsia" w:ascii="宋体" w:hAnsi="宋体" w:eastAsia="宋体" w:cs="宋体"/>
              </w:rPr>
            </w:pPr>
          </w:p>
        </w:tc>
        <w:tc>
          <w:tcPr>
            <w:tcW w:w="1088" w:type="pct"/>
            <w:vAlign w:val="center"/>
          </w:tcPr>
          <w:p>
            <w:pPr>
              <w:pStyle w:val="112"/>
              <w:rPr>
                <w:rFonts w:hint="eastAsia" w:ascii="宋体" w:hAnsi="宋体" w:eastAsia="宋体" w:cs="宋体"/>
              </w:rPr>
            </w:pPr>
            <w:r>
              <w:rPr>
                <w:rFonts w:hint="eastAsia" w:ascii="宋体" w:hAnsi="宋体" w:eastAsia="宋体" w:cs="宋体"/>
              </w:rPr>
              <w:t>生产废水</w:t>
            </w:r>
          </w:p>
        </w:tc>
        <w:tc>
          <w:tcPr>
            <w:tcW w:w="1179" w:type="pct"/>
            <w:vAlign w:val="center"/>
          </w:tcPr>
          <w:p>
            <w:pPr>
              <w:pStyle w:val="112"/>
              <w:rPr>
                <w:rFonts w:hint="eastAsia" w:ascii="宋体" w:hAnsi="宋体" w:eastAsia="宋体" w:cs="宋体"/>
              </w:rPr>
            </w:pPr>
            <w:r>
              <w:rPr>
                <w:rFonts w:hint="eastAsia" w:ascii="宋体" w:hAnsi="宋体" w:eastAsia="宋体" w:cs="宋体"/>
              </w:rPr>
              <w:t>经沉淀池沉淀后循环使用不外排</w:t>
            </w:r>
          </w:p>
        </w:tc>
        <w:tc>
          <w:tcPr>
            <w:tcW w:w="1029" w:type="pct"/>
            <w:vAlign w:val="center"/>
          </w:tcPr>
          <w:p>
            <w:pPr>
              <w:pStyle w:val="112"/>
              <w:rPr>
                <w:rFonts w:hint="eastAsia" w:ascii="宋体" w:hAnsi="宋体" w:eastAsia="宋体" w:cs="宋体"/>
              </w:rPr>
            </w:pPr>
            <w:r>
              <w:rPr>
                <w:rFonts w:hint="eastAsia" w:ascii="宋体" w:hAnsi="宋体" w:eastAsia="宋体" w:cs="宋体"/>
              </w:rPr>
              <w:t>/</w:t>
            </w:r>
          </w:p>
        </w:tc>
        <w:tc>
          <w:tcPr>
            <w:tcW w:w="1362" w:type="pct"/>
            <w:vAlign w:val="center"/>
          </w:tcPr>
          <w:p>
            <w:pPr>
              <w:pStyle w:val="112"/>
              <w:rPr>
                <w:rFonts w:hint="eastAsia" w:ascii="宋体" w:hAnsi="宋体" w:eastAsia="宋体" w:cs="宋体"/>
              </w:rPr>
            </w:pPr>
            <w:r>
              <w:rPr>
                <w:rFonts w:hint="eastAsia" w:ascii="宋体" w:hAnsi="宋体" w:eastAsia="宋体" w:cs="宋体"/>
              </w:rPr>
              <w:t>已落实，项目搅拌设备清洗废水及车辆清洗废水经沉淀池沉淀后回用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40" w:type="pct"/>
            <w:vAlign w:val="center"/>
          </w:tcPr>
          <w:p>
            <w:pPr>
              <w:pStyle w:val="112"/>
              <w:rPr>
                <w:rFonts w:hint="eastAsia" w:ascii="宋体" w:hAnsi="宋体" w:eastAsia="宋体" w:cs="宋体"/>
              </w:rPr>
            </w:pPr>
            <w:r>
              <w:rPr>
                <w:rFonts w:hint="eastAsia" w:ascii="宋体" w:hAnsi="宋体" w:eastAsia="宋体" w:cs="宋体"/>
              </w:rPr>
              <w:t>噪声</w:t>
            </w:r>
          </w:p>
        </w:tc>
        <w:tc>
          <w:tcPr>
            <w:tcW w:w="1088" w:type="pct"/>
            <w:vAlign w:val="center"/>
          </w:tcPr>
          <w:p>
            <w:pPr>
              <w:pStyle w:val="112"/>
              <w:rPr>
                <w:rFonts w:hint="eastAsia" w:ascii="宋体" w:hAnsi="宋体" w:eastAsia="宋体" w:cs="宋体"/>
              </w:rPr>
            </w:pPr>
            <w:r>
              <w:rPr>
                <w:rFonts w:hint="eastAsia" w:ascii="宋体" w:hAnsi="宋体" w:eastAsia="宋体" w:cs="宋体"/>
              </w:rPr>
              <w:t>设备噪声</w:t>
            </w:r>
          </w:p>
        </w:tc>
        <w:tc>
          <w:tcPr>
            <w:tcW w:w="1179" w:type="pct"/>
            <w:vAlign w:val="center"/>
          </w:tcPr>
          <w:p>
            <w:pPr>
              <w:pStyle w:val="112"/>
              <w:rPr>
                <w:rFonts w:hint="eastAsia" w:ascii="宋体" w:hAnsi="宋体" w:eastAsia="宋体" w:cs="宋体"/>
              </w:rPr>
            </w:pPr>
            <w:r>
              <w:rPr>
                <w:rFonts w:hint="eastAsia" w:ascii="宋体" w:hAnsi="宋体" w:eastAsia="宋体" w:cs="宋体"/>
                <w:bCs/>
              </w:rPr>
              <w:t>低噪声设备，基础减振，厂房隔声</w:t>
            </w:r>
          </w:p>
        </w:tc>
        <w:tc>
          <w:tcPr>
            <w:tcW w:w="1029" w:type="pct"/>
            <w:vAlign w:val="center"/>
          </w:tcPr>
          <w:p>
            <w:pPr>
              <w:pStyle w:val="112"/>
              <w:rPr>
                <w:rFonts w:hint="eastAsia" w:ascii="宋体" w:hAnsi="宋体" w:eastAsia="宋体" w:cs="宋体"/>
              </w:rPr>
            </w:pPr>
            <w:r>
              <w:rPr>
                <w:rFonts w:hint="eastAsia" w:ascii="宋体" w:hAnsi="宋体" w:eastAsia="宋体" w:cs="宋体"/>
                <w:bCs/>
              </w:rPr>
              <w:t>《工业企业厂界环境噪声排放标准》（GB12348-2008）中的2类标准</w:t>
            </w:r>
          </w:p>
        </w:tc>
        <w:tc>
          <w:tcPr>
            <w:tcW w:w="1362" w:type="pct"/>
            <w:vAlign w:val="center"/>
          </w:tcPr>
          <w:p>
            <w:pPr>
              <w:pStyle w:val="112"/>
              <w:rPr>
                <w:rFonts w:hint="eastAsia" w:ascii="宋体" w:hAnsi="宋体" w:eastAsia="宋体" w:cs="宋体"/>
              </w:rPr>
            </w:pPr>
            <w:r>
              <w:rPr>
                <w:rFonts w:hint="eastAsia" w:ascii="宋体" w:hAnsi="宋体" w:eastAsia="宋体" w:cs="宋体"/>
              </w:rPr>
              <w:t>本项目已按照环评要求选用低噪声设备，基础减振，但由于冬季公司处于停产状态，因此厂界噪声无法满足验收监测条件，待项目后期正常运行后，对厂界噪声进行补充监测。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40" w:type="pct"/>
            <w:vMerge w:val="restart"/>
            <w:vAlign w:val="center"/>
          </w:tcPr>
          <w:p>
            <w:pPr>
              <w:pStyle w:val="112"/>
              <w:rPr>
                <w:rFonts w:hint="eastAsia" w:ascii="宋体" w:hAnsi="宋体" w:eastAsia="宋体" w:cs="宋体"/>
              </w:rPr>
            </w:pPr>
            <w:r>
              <w:rPr>
                <w:rFonts w:hint="eastAsia" w:ascii="宋体" w:hAnsi="宋体" w:eastAsia="宋体" w:cs="宋体"/>
              </w:rPr>
              <w:t>固废</w:t>
            </w:r>
          </w:p>
        </w:tc>
        <w:tc>
          <w:tcPr>
            <w:tcW w:w="1088" w:type="pct"/>
            <w:vAlign w:val="center"/>
          </w:tcPr>
          <w:p>
            <w:pPr>
              <w:pStyle w:val="112"/>
              <w:rPr>
                <w:rFonts w:hint="eastAsia" w:ascii="宋体" w:hAnsi="宋体" w:eastAsia="宋体" w:cs="宋体"/>
              </w:rPr>
            </w:pPr>
            <w:r>
              <w:rPr>
                <w:rFonts w:hint="eastAsia" w:ascii="宋体" w:hAnsi="宋体" w:eastAsia="宋体" w:cs="宋体"/>
              </w:rPr>
              <w:t>除尘器收集粉尘</w:t>
            </w:r>
          </w:p>
        </w:tc>
        <w:tc>
          <w:tcPr>
            <w:tcW w:w="1179" w:type="pct"/>
            <w:vAlign w:val="center"/>
          </w:tcPr>
          <w:p>
            <w:pPr>
              <w:pStyle w:val="112"/>
              <w:rPr>
                <w:rFonts w:hint="eastAsia" w:ascii="宋体" w:hAnsi="宋体" w:eastAsia="宋体" w:cs="宋体"/>
              </w:rPr>
            </w:pPr>
            <w:r>
              <w:rPr>
                <w:rFonts w:hint="eastAsia" w:ascii="宋体" w:hAnsi="宋体" w:eastAsia="宋体" w:cs="宋体"/>
              </w:rPr>
              <w:t>回用于生产</w:t>
            </w:r>
          </w:p>
        </w:tc>
        <w:tc>
          <w:tcPr>
            <w:tcW w:w="1029" w:type="pct"/>
            <w:vAlign w:val="center"/>
          </w:tcPr>
          <w:p>
            <w:pPr>
              <w:pStyle w:val="112"/>
              <w:rPr>
                <w:rFonts w:hint="eastAsia" w:ascii="宋体" w:hAnsi="宋体" w:eastAsia="宋体" w:cs="宋体"/>
              </w:rPr>
            </w:pPr>
            <w:r>
              <w:rPr>
                <w:rFonts w:hint="eastAsia" w:ascii="宋体" w:hAnsi="宋体" w:eastAsia="宋体" w:cs="宋体"/>
              </w:rPr>
              <w:t>/</w:t>
            </w:r>
          </w:p>
        </w:tc>
        <w:tc>
          <w:tcPr>
            <w:tcW w:w="1362" w:type="pct"/>
            <w:vMerge w:val="restart"/>
            <w:vAlign w:val="center"/>
          </w:tcPr>
          <w:p>
            <w:pPr>
              <w:pStyle w:val="112"/>
              <w:rPr>
                <w:rFonts w:hint="eastAsia" w:ascii="宋体" w:hAnsi="宋体" w:eastAsia="宋体" w:cs="宋体"/>
              </w:rPr>
            </w:pPr>
            <w:r>
              <w:rPr>
                <w:rFonts w:hint="eastAsia" w:ascii="宋体" w:hAnsi="宋体" w:eastAsia="宋体" w:cs="宋体"/>
              </w:rPr>
              <w:t>已落实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40" w:type="pct"/>
            <w:vMerge w:val="continue"/>
            <w:vAlign w:val="center"/>
          </w:tcPr>
          <w:p>
            <w:pPr>
              <w:pStyle w:val="112"/>
              <w:rPr>
                <w:rFonts w:hint="eastAsia" w:ascii="宋体" w:hAnsi="宋体" w:eastAsia="宋体" w:cs="宋体"/>
              </w:rPr>
            </w:pPr>
          </w:p>
        </w:tc>
        <w:tc>
          <w:tcPr>
            <w:tcW w:w="1088" w:type="pct"/>
            <w:vAlign w:val="center"/>
          </w:tcPr>
          <w:p>
            <w:pPr>
              <w:pStyle w:val="112"/>
              <w:rPr>
                <w:rFonts w:hint="eastAsia" w:ascii="宋体" w:hAnsi="宋体" w:eastAsia="宋体" w:cs="宋体"/>
              </w:rPr>
            </w:pPr>
            <w:r>
              <w:rPr>
                <w:rFonts w:hint="eastAsia" w:ascii="宋体" w:hAnsi="宋体" w:eastAsia="宋体" w:cs="宋体"/>
              </w:rPr>
              <w:t>沉淀砂石</w:t>
            </w:r>
          </w:p>
        </w:tc>
        <w:tc>
          <w:tcPr>
            <w:tcW w:w="1179" w:type="pct"/>
            <w:vAlign w:val="center"/>
          </w:tcPr>
          <w:p>
            <w:pPr>
              <w:pStyle w:val="112"/>
              <w:rPr>
                <w:rFonts w:hint="eastAsia" w:ascii="宋体" w:hAnsi="宋体" w:eastAsia="宋体" w:cs="宋体"/>
              </w:rPr>
            </w:pPr>
            <w:r>
              <w:rPr>
                <w:rFonts w:hint="eastAsia" w:ascii="宋体" w:hAnsi="宋体" w:eastAsia="宋体" w:cs="宋体"/>
              </w:rPr>
              <w:t>收集后回用于生产</w:t>
            </w:r>
          </w:p>
        </w:tc>
        <w:tc>
          <w:tcPr>
            <w:tcW w:w="1029" w:type="pct"/>
            <w:vAlign w:val="center"/>
          </w:tcPr>
          <w:p>
            <w:pPr>
              <w:pStyle w:val="112"/>
              <w:rPr>
                <w:rFonts w:hint="eastAsia" w:ascii="宋体" w:hAnsi="宋体" w:eastAsia="宋体" w:cs="宋体"/>
              </w:rPr>
            </w:pPr>
            <w:r>
              <w:rPr>
                <w:rFonts w:hint="eastAsia" w:ascii="宋体" w:hAnsi="宋体" w:eastAsia="宋体" w:cs="宋体"/>
              </w:rPr>
              <w:t>/</w:t>
            </w:r>
          </w:p>
        </w:tc>
        <w:tc>
          <w:tcPr>
            <w:tcW w:w="1362" w:type="pct"/>
            <w:vMerge w:val="continue"/>
            <w:vAlign w:val="center"/>
          </w:tcPr>
          <w:p>
            <w:pPr>
              <w:pStyle w:val="11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40" w:type="pct"/>
            <w:vMerge w:val="continue"/>
            <w:vAlign w:val="center"/>
          </w:tcPr>
          <w:p>
            <w:pPr>
              <w:pStyle w:val="112"/>
              <w:rPr>
                <w:rFonts w:hint="eastAsia" w:ascii="宋体" w:hAnsi="宋体" w:eastAsia="宋体" w:cs="宋体"/>
              </w:rPr>
            </w:pPr>
          </w:p>
        </w:tc>
        <w:tc>
          <w:tcPr>
            <w:tcW w:w="1088" w:type="pct"/>
            <w:vAlign w:val="center"/>
          </w:tcPr>
          <w:p>
            <w:pPr>
              <w:pStyle w:val="112"/>
              <w:rPr>
                <w:rFonts w:hint="eastAsia" w:ascii="宋体" w:hAnsi="宋体" w:eastAsia="宋体" w:cs="宋体"/>
              </w:rPr>
            </w:pPr>
            <w:r>
              <w:rPr>
                <w:rFonts w:hint="eastAsia" w:ascii="宋体" w:hAnsi="宋体" w:eastAsia="宋体" w:cs="宋体"/>
              </w:rPr>
              <w:t>废混凝土试块</w:t>
            </w:r>
          </w:p>
        </w:tc>
        <w:tc>
          <w:tcPr>
            <w:tcW w:w="1179" w:type="pct"/>
            <w:vAlign w:val="center"/>
          </w:tcPr>
          <w:p>
            <w:pPr>
              <w:pStyle w:val="112"/>
              <w:rPr>
                <w:rFonts w:hint="eastAsia" w:ascii="宋体" w:hAnsi="宋体" w:eastAsia="宋体" w:cs="宋体"/>
              </w:rPr>
            </w:pPr>
            <w:r>
              <w:rPr>
                <w:rFonts w:hint="eastAsia" w:ascii="宋体" w:hAnsi="宋体" w:eastAsia="宋体" w:cs="宋体"/>
                <w:lang w:val="en-US" w:eastAsia="zh-CN"/>
              </w:rPr>
              <w:t>经手动破碎后，统一收集后回用于生产</w:t>
            </w:r>
          </w:p>
        </w:tc>
        <w:tc>
          <w:tcPr>
            <w:tcW w:w="1029" w:type="pct"/>
            <w:vAlign w:val="center"/>
          </w:tcPr>
          <w:p>
            <w:pPr>
              <w:pStyle w:val="112"/>
              <w:rPr>
                <w:rFonts w:hint="eastAsia" w:ascii="宋体" w:hAnsi="宋体" w:eastAsia="宋体" w:cs="宋体"/>
              </w:rPr>
            </w:pPr>
            <w:r>
              <w:rPr>
                <w:rFonts w:hint="eastAsia" w:ascii="宋体" w:hAnsi="宋体" w:eastAsia="宋体" w:cs="宋体"/>
              </w:rPr>
              <w:t>/</w:t>
            </w:r>
          </w:p>
        </w:tc>
        <w:tc>
          <w:tcPr>
            <w:tcW w:w="1362" w:type="pct"/>
            <w:vMerge w:val="continue"/>
            <w:vAlign w:val="center"/>
          </w:tcPr>
          <w:p>
            <w:pPr>
              <w:pStyle w:val="11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40" w:type="pct"/>
            <w:vMerge w:val="continue"/>
            <w:vAlign w:val="center"/>
          </w:tcPr>
          <w:p>
            <w:pPr>
              <w:pStyle w:val="112"/>
              <w:rPr>
                <w:rFonts w:hint="eastAsia" w:ascii="宋体" w:hAnsi="宋体" w:eastAsia="宋体" w:cs="宋体"/>
              </w:rPr>
            </w:pPr>
          </w:p>
        </w:tc>
        <w:tc>
          <w:tcPr>
            <w:tcW w:w="1088" w:type="pct"/>
            <w:vAlign w:val="center"/>
          </w:tcPr>
          <w:p>
            <w:pPr>
              <w:pStyle w:val="112"/>
              <w:rPr>
                <w:rFonts w:hint="eastAsia" w:ascii="宋体" w:hAnsi="宋体" w:eastAsia="宋体" w:cs="宋体"/>
              </w:rPr>
            </w:pPr>
            <w:r>
              <w:rPr>
                <w:rFonts w:hint="eastAsia" w:ascii="宋体" w:hAnsi="宋体" w:eastAsia="宋体" w:cs="宋体"/>
              </w:rPr>
              <w:t>生活垃圾</w:t>
            </w:r>
          </w:p>
        </w:tc>
        <w:tc>
          <w:tcPr>
            <w:tcW w:w="1179" w:type="pct"/>
            <w:vAlign w:val="center"/>
          </w:tcPr>
          <w:p>
            <w:pPr>
              <w:pStyle w:val="112"/>
              <w:rPr>
                <w:rFonts w:hint="eastAsia" w:ascii="宋体" w:hAnsi="宋体" w:eastAsia="宋体" w:cs="宋体"/>
              </w:rPr>
            </w:pPr>
            <w:r>
              <w:rPr>
                <w:rFonts w:hint="eastAsia" w:ascii="宋体" w:hAnsi="宋体" w:eastAsia="宋体" w:cs="宋体"/>
              </w:rPr>
              <w:t>由环卫部门清运处理</w:t>
            </w:r>
          </w:p>
        </w:tc>
        <w:tc>
          <w:tcPr>
            <w:tcW w:w="1029" w:type="pct"/>
            <w:vAlign w:val="center"/>
          </w:tcPr>
          <w:p>
            <w:pPr>
              <w:pStyle w:val="112"/>
              <w:rPr>
                <w:rFonts w:hint="eastAsia" w:ascii="宋体" w:hAnsi="宋体" w:eastAsia="宋体" w:cs="宋体"/>
              </w:rPr>
            </w:pPr>
            <w:r>
              <w:rPr>
                <w:rFonts w:hint="eastAsia" w:ascii="宋体" w:hAnsi="宋体" w:eastAsia="宋体" w:cs="宋体"/>
              </w:rPr>
              <w:t>/</w:t>
            </w:r>
          </w:p>
        </w:tc>
        <w:tc>
          <w:tcPr>
            <w:tcW w:w="1362" w:type="pct"/>
            <w:vMerge w:val="continue"/>
            <w:vAlign w:val="center"/>
          </w:tcPr>
          <w:p>
            <w:pPr>
              <w:pStyle w:val="112"/>
              <w:rPr>
                <w:rFonts w:hint="eastAsia" w:ascii="宋体" w:hAnsi="宋体" w:eastAsia="宋体" w:cs="宋体"/>
              </w:rPr>
            </w:pPr>
          </w:p>
        </w:tc>
      </w:tr>
    </w:tbl>
    <w:p>
      <w:pPr>
        <w:pStyle w:val="5"/>
        <w:rPr>
          <w:rFonts w:hint="eastAsia" w:ascii="宋体" w:hAnsi="宋体" w:eastAsia="宋体" w:cs="宋体"/>
        </w:rPr>
      </w:pPr>
      <w:bookmarkStart w:id="30" w:name="_Toc9433"/>
      <w:r>
        <w:rPr>
          <w:rFonts w:hint="eastAsia" w:ascii="宋体" w:hAnsi="宋体" w:eastAsia="宋体" w:cs="宋体"/>
        </w:rPr>
        <w:t>2.10验收范围及内容</w:t>
      </w:r>
      <w:bookmarkEnd w:id="30"/>
    </w:p>
    <w:p>
      <w:pPr>
        <w:ind w:firstLine="480"/>
        <w:rPr>
          <w:rFonts w:hint="eastAsia" w:ascii="宋体" w:hAnsi="宋体" w:eastAsia="宋体" w:cs="宋体"/>
        </w:rPr>
      </w:pPr>
      <w:r>
        <w:rPr>
          <w:rFonts w:hint="eastAsia" w:ascii="宋体" w:hAnsi="宋体" w:eastAsia="宋体" w:cs="宋体"/>
        </w:rPr>
        <w:t>本项目为</w:t>
      </w:r>
      <w:r>
        <w:rPr>
          <w:rFonts w:hint="eastAsia" w:ascii="宋体" w:hAnsi="宋体" w:cs="宋体"/>
          <w:lang w:eastAsia="zh-CN"/>
        </w:rPr>
        <w:t>河北友联建筑材料股份有限公司环保设施改造提升项目</w:t>
      </w:r>
      <w:r>
        <w:rPr>
          <w:rFonts w:hint="eastAsia" w:ascii="宋体" w:hAnsi="宋体" w:eastAsia="宋体" w:cs="宋体"/>
        </w:rPr>
        <w:t>，由</w:t>
      </w:r>
      <w:r>
        <w:rPr>
          <w:rFonts w:hint="eastAsia" w:ascii="宋体" w:hAnsi="宋体" w:cs="宋体"/>
          <w:lang w:eastAsia="zh-CN"/>
        </w:rPr>
        <w:t>河北友联建筑材料股份有限公司</w:t>
      </w:r>
      <w:r>
        <w:rPr>
          <w:rFonts w:hint="eastAsia" w:ascii="宋体" w:hAnsi="宋体" w:eastAsia="宋体" w:cs="宋体"/>
        </w:rPr>
        <w:t>建设，建设地点位于</w:t>
      </w:r>
      <w:r>
        <w:rPr>
          <w:rFonts w:hint="eastAsia" w:ascii="宋体" w:hAnsi="宋体" w:cs="宋体"/>
          <w:lang w:eastAsia="zh-CN"/>
        </w:rPr>
        <w:t>赤城县赤城镇孙家庄村</w:t>
      </w:r>
      <w:r>
        <w:rPr>
          <w:rFonts w:hint="eastAsia" w:ascii="宋体" w:hAnsi="宋体" w:eastAsia="宋体" w:cs="宋体"/>
        </w:rPr>
        <w:t>。项目主要建设内容为：</w:t>
      </w:r>
      <w:r>
        <w:rPr>
          <w:rFonts w:hint="eastAsia" w:ascii="宋体" w:hAnsi="宋体" w:cs="宋体"/>
          <w:lang w:val="en-US" w:eastAsia="zh-CN"/>
        </w:rPr>
        <w:t>设置在线环保监测系统一套，更换洒水车，更换车辆喷淋设备一套，硬化道路和院面，更换除尘设施等</w:t>
      </w:r>
      <w:r>
        <w:rPr>
          <w:rFonts w:hint="eastAsia" w:ascii="宋体" w:hAnsi="宋体" w:eastAsia="宋体" w:cs="宋体"/>
        </w:rPr>
        <w:t>，项目建成后</w:t>
      </w:r>
      <w:r>
        <w:rPr>
          <w:rFonts w:hint="eastAsia" w:ascii="宋体" w:hAnsi="宋体" w:eastAsia="宋体" w:cs="宋体"/>
          <w:lang w:val="en-US" w:eastAsia="zh-CN"/>
        </w:rPr>
        <w:t>生产规模为</w:t>
      </w:r>
      <w:r>
        <w:rPr>
          <w:rFonts w:hint="eastAsia" w:ascii="宋体" w:hAnsi="宋体" w:cs="宋体"/>
          <w:lang w:val="en-US" w:eastAsia="zh-CN"/>
        </w:rPr>
        <w:t>年产商品混凝土6万立方米，年产预拌干粉砂浆35万吨</w:t>
      </w:r>
      <w:r>
        <w:rPr>
          <w:rFonts w:hint="eastAsia" w:ascii="宋体" w:hAnsi="宋体" w:eastAsia="宋体" w:cs="宋体"/>
          <w:lang w:val="en-US" w:eastAsia="zh-CN"/>
        </w:rPr>
        <w:t>。</w:t>
      </w:r>
    </w:p>
    <w:p>
      <w:pPr>
        <w:ind w:firstLine="480"/>
        <w:rPr>
          <w:rFonts w:hint="eastAsia" w:ascii="宋体" w:hAnsi="宋体" w:eastAsia="宋体" w:cs="宋体"/>
          <w:bCs/>
        </w:rPr>
      </w:pPr>
      <w:r>
        <w:rPr>
          <w:rFonts w:hint="eastAsia" w:ascii="宋体" w:hAnsi="宋体" w:eastAsia="宋体" w:cs="宋体"/>
          <w:bCs/>
        </w:rPr>
        <w:t>项目主体工程及配套环保设施已经建设完成：搅拌机组废气经袋式除尘器处理后</w:t>
      </w:r>
      <w:r>
        <w:rPr>
          <w:rFonts w:hint="eastAsia" w:ascii="宋体" w:hAnsi="宋体" w:cs="宋体"/>
          <w:bCs/>
          <w:lang w:val="en-US" w:eastAsia="zh-CN"/>
        </w:rPr>
        <w:t>通过15m高排气筒排放；</w:t>
      </w:r>
      <w:r>
        <w:rPr>
          <w:rFonts w:hint="eastAsia" w:ascii="宋体" w:hAnsi="宋体" w:cs="宋体"/>
          <w:bCs/>
          <w:lang w:eastAsia="zh-CN"/>
        </w:rPr>
        <w:t>筒仓</w:t>
      </w:r>
      <w:r>
        <w:rPr>
          <w:rFonts w:hint="eastAsia" w:ascii="宋体" w:hAnsi="宋体" w:cs="宋体"/>
          <w:bCs/>
          <w:lang w:val="en-US" w:eastAsia="zh-CN"/>
        </w:rPr>
        <w:t>顶部分别配套的除尘设施处理后排放口高度不低于15米排放</w:t>
      </w:r>
      <w:r>
        <w:rPr>
          <w:rFonts w:hint="eastAsia" w:ascii="宋体" w:hAnsi="宋体" w:eastAsia="宋体" w:cs="宋体"/>
          <w:bCs/>
        </w:rPr>
        <w:t>，原料库密闭，喷淋洒水；厂区地面采取硬化措施，并定时洒水清扫；采用密闭传送带；职工盥洗废水用于厂区泼洒抑尘，职工使用厂区防渗旱厕，旱厕定期清掏；设备采用减振隔声等措施</w:t>
      </w:r>
      <w:r>
        <w:rPr>
          <w:rFonts w:hint="eastAsia" w:ascii="宋体" w:hAnsi="宋体" w:eastAsia="宋体" w:cs="宋体"/>
        </w:rPr>
        <w:t>。</w:t>
      </w:r>
    </w:p>
    <w:p>
      <w:pPr>
        <w:ind w:firstLine="480"/>
        <w:rPr>
          <w:rFonts w:hint="eastAsia" w:ascii="宋体" w:hAnsi="宋体" w:eastAsia="宋体" w:cs="宋体"/>
          <w:bCs/>
        </w:rPr>
      </w:pPr>
      <w:r>
        <w:rPr>
          <w:rFonts w:hint="eastAsia" w:ascii="宋体" w:hAnsi="宋体" w:eastAsia="宋体" w:cs="宋体"/>
          <w:bCs/>
        </w:rPr>
        <w:t>本项目已按照环评文件及审批要求安装环保设施，但由于冬季公司处于停产状态，因此污染源无法满足验收监测条件，待项目后期正常运行后，对废气及噪声进行补充监测。</w:t>
      </w:r>
    </w:p>
    <w:p>
      <w:pPr>
        <w:ind w:firstLine="480"/>
        <w:rPr>
          <w:rFonts w:hint="eastAsia" w:ascii="宋体" w:hAnsi="宋体" w:eastAsia="宋体" w:cs="宋体"/>
          <w:bCs/>
        </w:rPr>
      </w:pPr>
      <w:r>
        <w:rPr>
          <w:rFonts w:hint="eastAsia" w:ascii="宋体" w:hAnsi="宋体" w:eastAsia="宋体" w:cs="宋体"/>
          <w:bCs/>
        </w:rPr>
        <w:t>因此，本次验收范围为《</w:t>
      </w:r>
      <w:r>
        <w:rPr>
          <w:rFonts w:hint="eastAsia" w:ascii="宋体" w:hAnsi="宋体" w:cs="宋体"/>
          <w:bCs/>
          <w:lang w:eastAsia="zh-CN"/>
        </w:rPr>
        <w:t>河北友联建筑材料股份有限公司环保设施改造提升项目</w:t>
      </w:r>
      <w:r>
        <w:rPr>
          <w:rFonts w:hint="eastAsia" w:ascii="宋体" w:hAnsi="宋体" w:eastAsia="宋体" w:cs="宋体"/>
          <w:bCs/>
        </w:rPr>
        <w:t>环境影响报告表》中设施内容，包括：</w:t>
      </w:r>
    </w:p>
    <w:p>
      <w:pPr>
        <w:ind w:firstLine="480"/>
        <w:rPr>
          <w:rFonts w:hint="eastAsia" w:ascii="宋体" w:hAnsi="宋体" w:eastAsia="宋体" w:cs="宋体"/>
          <w:bCs/>
        </w:rPr>
      </w:pPr>
      <w:r>
        <w:rPr>
          <w:rFonts w:hint="eastAsia" w:ascii="宋体" w:hAnsi="宋体" w:eastAsia="宋体" w:cs="宋体"/>
          <w:bCs/>
        </w:rPr>
        <w:t>（1）废气──通过现场检查了解项目搅拌机组粉尘、筒仓粉尘、厂区无组织粉尘治理措施设置情况；</w:t>
      </w:r>
    </w:p>
    <w:p>
      <w:pPr>
        <w:ind w:firstLine="480"/>
        <w:rPr>
          <w:rFonts w:hint="eastAsia" w:ascii="宋体" w:hAnsi="宋体" w:eastAsia="宋体" w:cs="宋体"/>
          <w:bCs/>
        </w:rPr>
      </w:pPr>
      <w:r>
        <w:rPr>
          <w:rFonts w:hint="eastAsia" w:ascii="宋体" w:hAnsi="宋体" w:eastAsia="宋体" w:cs="宋体"/>
          <w:bCs/>
        </w:rPr>
        <w:t>（2）废水──通过现场检查了解项目生活污水排放情况；</w:t>
      </w:r>
    </w:p>
    <w:p>
      <w:pPr>
        <w:ind w:firstLine="480"/>
        <w:rPr>
          <w:rFonts w:hint="eastAsia" w:ascii="宋体" w:hAnsi="宋体" w:eastAsia="宋体" w:cs="宋体"/>
          <w:bCs/>
        </w:rPr>
      </w:pPr>
      <w:r>
        <w:rPr>
          <w:rFonts w:hint="eastAsia" w:ascii="宋体" w:hAnsi="宋体" w:eastAsia="宋体" w:cs="宋体"/>
          <w:bCs/>
        </w:rPr>
        <w:t>（3）噪声──通过现场检查了解设备是否位于厂房内，采取减振隔措施；</w:t>
      </w:r>
    </w:p>
    <w:p>
      <w:pPr>
        <w:ind w:firstLine="480"/>
        <w:rPr>
          <w:rFonts w:hint="eastAsia" w:ascii="宋体" w:hAnsi="宋体" w:eastAsia="宋体" w:cs="宋体"/>
          <w:bCs/>
        </w:rPr>
      </w:pPr>
      <w:r>
        <w:rPr>
          <w:rFonts w:hint="eastAsia" w:ascii="宋体" w:hAnsi="宋体" w:eastAsia="宋体" w:cs="宋体"/>
          <w:bCs/>
        </w:rPr>
        <w:t>（4）固体废物──通过现场检查了解固体废物收集、贮存和处置是否符合相关规定；</w:t>
      </w:r>
    </w:p>
    <w:p>
      <w:pPr>
        <w:ind w:firstLine="480"/>
        <w:rPr>
          <w:rFonts w:hint="eastAsia" w:ascii="宋体" w:hAnsi="宋体" w:eastAsia="宋体" w:cs="宋体"/>
          <w:bCs/>
        </w:rPr>
      </w:pPr>
      <w:r>
        <w:rPr>
          <w:rFonts w:hint="eastAsia" w:ascii="宋体" w:hAnsi="宋体" w:eastAsia="宋体" w:cs="宋体"/>
          <w:bCs/>
        </w:rPr>
        <w:t>（5）工程环评及环评批复落实情况、环保设施的建设运行情况、环保机构及规章制度建设情况等。</w:t>
      </w:r>
    </w:p>
    <w:p>
      <w:pPr>
        <w:tabs>
          <w:tab w:val="left" w:pos="0"/>
        </w:tabs>
        <w:spacing w:before="156" w:beforeLines="50" w:after="156" w:afterLines="50" w:line="600" w:lineRule="exact"/>
        <w:ind w:firstLine="0" w:firstLineChars="0"/>
        <w:outlineLvl w:val="0"/>
        <w:rPr>
          <w:rFonts w:hint="eastAsia" w:ascii="宋体" w:hAnsi="宋体" w:eastAsia="宋体" w:cs="宋体"/>
          <w:bCs/>
          <w:color w:val="000000"/>
          <w:sz w:val="30"/>
          <w:szCs w:val="30"/>
        </w:rPr>
        <w:sectPr>
          <w:pgSz w:w="11906" w:h="16838"/>
          <w:pgMar w:top="1440" w:right="1800" w:bottom="1440" w:left="1800" w:header="851" w:footer="850" w:gutter="0"/>
          <w:cols w:space="425" w:num="1"/>
          <w:docGrid w:type="lines" w:linePitch="312" w:charSpace="0"/>
        </w:sectPr>
      </w:pPr>
    </w:p>
    <w:p>
      <w:pPr>
        <w:pStyle w:val="5"/>
        <w:rPr>
          <w:rFonts w:hint="eastAsia" w:ascii="宋体" w:hAnsi="宋体" w:eastAsia="宋体" w:cs="宋体"/>
        </w:rPr>
      </w:pPr>
      <w:bookmarkStart w:id="31" w:name="_Toc31413"/>
      <w:r>
        <w:rPr>
          <w:rFonts w:hint="eastAsia" w:ascii="宋体" w:hAnsi="宋体" w:eastAsia="宋体" w:cs="宋体"/>
        </w:rPr>
        <w:t>3、</w:t>
      </w:r>
      <w:bookmarkEnd w:id="28"/>
      <w:r>
        <w:rPr>
          <w:rFonts w:hint="eastAsia" w:ascii="宋体" w:hAnsi="宋体" w:eastAsia="宋体" w:cs="宋体"/>
        </w:rPr>
        <w:t>主要污染源及治理措施</w:t>
      </w:r>
      <w:bookmarkEnd w:id="31"/>
    </w:p>
    <w:p>
      <w:pPr>
        <w:pStyle w:val="5"/>
        <w:rPr>
          <w:rFonts w:hint="eastAsia" w:ascii="宋体" w:hAnsi="宋体" w:eastAsia="宋体" w:cs="宋体"/>
        </w:rPr>
      </w:pPr>
      <w:bookmarkStart w:id="32" w:name="_Toc6003"/>
      <w:bookmarkStart w:id="33" w:name="_Toc30083317"/>
      <w:r>
        <w:rPr>
          <w:rFonts w:hint="eastAsia" w:ascii="宋体" w:hAnsi="宋体" w:eastAsia="宋体" w:cs="宋体"/>
        </w:rPr>
        <w:t>3.1施工期污染源及治理措施</w:t>
      </w:r>
      <w:bookmarkEnd w:id="32"/>
    </w:p>
    <w:p>
      <w:pPr>
        <w:ind w:firstLine="480"/>
        <w:rPr>
          <w:rFonts w:hint="eastAsia" w:ascii="宋体" w:hAnsi="宋体" w:eastAsia="宋体" w:cs="宋体"/>
        </w:rPr>
      </w:pPr>
      <w:r>
        <w:rPr>
          <w:rFonts w:hint="eastAsia" w:ascii="宋体" w:hAnsi="宋体" w:eastAsia="宋体" w:cs="宋体"/>
        </w:rPr>
        <w:t>本项目在</w:t>
      </w:r>
      <w:r>
        <w:rPr>
          <w:rFonts w:hint="eastAsia" w:ascii="宋体" w:hAnsi="宋体" w:cs="宋体"/>
          <w:lang w:eastAsia="zh-CN"/>
        </w:rPr>
        <w:t>赤城县赤城镇孙家庄村河北友联建筑材料股份有限公司</w:t>
      </w:r>
      <w:r>
        <w:rPr>
          <w:rFonts w:hint="eastAsia" w:ascii="宋体" w:hAnsi="宋体" w:eastAsia="宋体" w:cs="宋体"/>
        </w:rPr>
        <w:t>厂区内，施工期主要为设备安装调试，施工期间不可避免地会对环境带来一定的影响，但施工期施工内容相对简单，施工量较小，施工期较短，采取相应措施后对周围环境影响较小。</w:t>
      </w:r>
    </w:p>
    <w:p>
      <w:pPr>
        <w:ind w:firstLine="480"/>
        <w:rPr>
          <w:rFonts w:hint="eastAsia" w:ascii="宋体" w:hAnsi="宋体" w:eastAsia="宋体" w:cs="宋体"/>
        </w:rPr>
      </w:pPr>
      <w:r>
        <w:rPr>
          <w:rFonts w:hint="eastAsia" w:ascii="宋体" w:hAnsi="宋体" w:eastAsia="宋体" w:cs="宋体"/>
        </w:rPr>
        <w:t>（1）施工废气污染防治措施</w:t>
      </w:r>
    </w:p>
    <w:p>
      <w:pPr>
        <w:ind w:firstLine="480"/>
        <w:rPr>
          <w:rFonts w:hint="eastAsia" w:ascii="宋体" w:hAnsi="宋体" w:eastAsia="宋体" w:cs="宋体"/>
        </w:rPr>
      </w:pPr>
      <w:r>
        <w:rPr>
          <w:rFonts w:hint="eastAsia" w:ascii="宋体" w:hAnsi="宋体" w:eastAsia="宋体" w:cs="宋体"/>
        </w:rPr>
        <w:t>项目在施工期采取如下废气防治措施：</w:t>
      </w:r>
    </w:p>
    <w:p>
      <w:pPr>
        <w:ind w:firstLine="480"/>
        <w:rPr>
          <w:rFonts w:hint="eastAsia" w:ascii="宋体" w:hAnsi="宋体" w:eastAsia="宋体" w:cs="宋体"/>
        </w:rPr>
      </w:pPr>
      <w:r>
        <w:rPr>
          <w:rFonts w:hint="eastAsia" w:ascii="宋体" w:hAnsi="宋体" w:eastAsia="宋体" w:cs="宋体"/>
        </w:rPr>
        <w:t>①施工现场建立洒水清扫制度，定期洒水抑尘；</w:t>
      </w:r>
    </w:p>
    <w:p>
      <w:pPr>
        <w:ind w:firstLine="480"/>
        <w:rPr>
          <w:rFonts w:hint="eastAsia" w:ascii="宋体" w:hAnsi="宋体" w:eastAsia="宋体" w:cs="宋体"/>
        </w:rPr>
      </w:pPr>
      <w:r>
        <w:rPr>
          <w:rFonts w:hint="eastAsia" w:ascii="宋体" w:hAnsi="宋体" w:eastAsia="宋体" w:cs="宋体"/>
        </w:rPr>
        <w:t>②运输车辆在厂区内行驶时降低车速；</w:t>
      </w:r>
    </w:p>
    <w:p>
      <w:pPr>
        <w:ind w:firstLine="480"/>
        <w:rPr>
          <w:rFonts w:hint="eastAsia" w:ascii="宋体" w:hAnsi="宋体" w:eastAsia="宋体" w:cs="宋体"/>
        </w:rPr>
      </w:pPr>
      <w:r>
        <w:rPr>
          <w:rFonts w:hint="eastAsia" w:ascii="宋体" w:hAnsi="宋体" w:eastAsia="宋体" w:cs="宋体"/>
        </w:rPr>
        <w:t>③对运载项目设备的车辆加盖篷布，车辆行驶线路避开居民区。</w:t>
      </w:r>
    </w:p>
    <w:p>
      <w:pPr>
        <w:ind w:firstLine="480"/>
        <w:rPr>
          <w:rFonts w:hint="eastAsia" w:ascii="宋体" w:hAnsi="宋体" w:eastAsia="宋体" w:cs="宋体"/>
        </w:rPr>
      </w:pPr>
      <w:r>
        <w:rPr>
          <w:rFonts w:hint="eastAsia" w:ascii="宋体" w:hAnsi="宋体" w:eastAsia="宋体" w:cs="宋体"/>
        </w:rPr>
        <w:t>（2）施工废水污染防治措施</w:t>
      </w:r>
    </w:p>
    <w:p>
      <w:pPr>
        <w:ind w:firstLine="480"/>
        <w:rPr>
          <w:rFonts w:hint="eastAsia" w:ascii="宋体" w:hAnsi="宋体" w:eastAsia="宋体" w:cs="宋体"/>
        </w:rPr>
      </w:pPr>
      <w:r>
        <w:rPr>
          <w:rFonts w:hint="eastAsia" w:ascii="宋体" w:hAnsi="宋体" w:eastAsia="宋体" w:cs="宋体"/>
        </w:rPr>
        <w:t>本项目施工期废水主要为施工现场车辆冲洗水及施工人员生活废水。为避免施工期废水排放污染当地水体环境，公司采取以下处理措施：</w:t>
      </w:r>
    </w:p>
    <w:p>
      <w:pPr>
        <w:ind w:firstLine="480"/>
        <w:rPr>
          <w:rFonts w:hint="eastAsia" w:ascii="宋体" w:hAnsi="宋体" w:eastAsia="宋体" w:cs="宋体"/>
        </w:rPr>
      </w:pPr>
      <w:r>
        <w:rPr>
          <w:rFonts w:hint="eastAsia" w:ascii="宋体" w:hAnsi="宋体" w:eastAsia="宋体" w:cs="宋体"/>
        </w:rPr>
        <w:t>①车辆冲洗废水及施工废水经沉淀池沉淀后回用，不外排。</w:t>
      </w:r>
    </w:p>
    <w:p>
      <w:pPr>
        <w:ind w:firstLine="480"/>
        <w:rPr>
          <w:rFonts w:hint="eastAsia" w:ascii="宋体" w:hAnsi="宋体" w:eastAsia="宋体" w:cs="宋体"/>
        </w:rPr>
      </w:pPr>
      <w:r>
        <w:rPr>
          <w:rFonts w:hint="eastAsia" w:ascii="宋体" w:hAnsi="宋体" w:eastAsia="宋体" w:cs="宋体"/>
        </w:rPr>
        <w:t>②施工场地盥洗污水用于场地泼洒抑尘。</w:t>
      </w:r>
    </w:p>
    <w:p>
      <w:pPr>
        <w:ind w:firstLine="480"/>
        <w:rPr>
          <w:rFonts w:hint="eastAsia" w:ascii="宋体" w:hAnsi="宋体" w:eastAsia="宋体" w:cs="宋体"/>
        </w:rPr>
      </w:pPr>
      <w:r>
        <w:rPr>
          <w:rFonts w:hint="eastAsia" w:ascii="宋体" w:hAnsi="宋体" w:eastAsia="宋体" w:cs="宋体"/>
        </w:rPr>
        <w:t>③加强管理方式，实施工地节约用水，减少项目施工污水的排放。</w:t>
      </w:r>
    </w:p>
    <w:p>
      <w:pPr>
        <w:ind w:firstLine="480"/>
        <w:rPr>
          <w:rFonts w:hint="eastAsia" w:ascii="宋体" w:hAnsi="宋体" w:eastAsia="宋体" w:cs="宋体"/>
        </w:rPr>
      </w:pPr>
      <w:r>
        <w:rPr>
          <w:rFonts w:hint="eastAsia" w:ascii="宋体" w:hAnsi="宋体" w:eastAsia="宋体" w:cs="宋体"/>
        </w:rPr>
        <w:t>（3）施工噪声污染防治措施</w:t>
      </w:r>
    </w:p>
    <w:p>
      <w:pPr>
        <w:ind w:firstLine="480"/>
        <w:rPr>
          <w:rFonts w:hint="eastAsia" w:ascii="宋体" w:hAnsi="宋体" w:eastAsia="宋体" w:cs="宋体"/>
        </w:rPr>
      </w:pPr>
      <w:r>
        <w:rPr>
          <w:rFonts w:hint="eastAsia" w:ascii="宋体" w:hAnsi="宋体" w:eastAsia="宋体" w:cs="宋体"/>
        </w:rPr>
        <w:t>施工期间建设过程中噪声主要来源于施工机械及运输车辆噪声，项目建设过程中采取下列噪声污染防治措施：</w:t>
      </w:r>
    </w:p>
    <w:p>
      <w:pPr>
        <w:ind w:firstLine="480"/>
        <w:rPr>
          <w:rFonts w:hint="eastAsia" w:ascii="宋体" w:hAnsi="宋体" w:eastAsia="宋体" w:cs="宋体"/>
        </w:rPr>
      </w:pPr>
      <w:r>
        <w:rPr>
          <w:rFonts w:hint="eastAsia" w:ascii="宋体" w:hAnsi="宋体" w:eastAsia="宋体" w:cs="宋体"/>
        </w:rPr>
        <w:t>①使用低噪声机械设备，设置专人对设备进行定期保养和维护，并负责对现场工作人员进行培训，严格按操作规范使用各类机械。</w:t>
      </w:r>
    </w:p>
    <w:p>
      <w:pPr>
        <w:ind w:firstLine="480"/>
        <w:rPr>
          <w:rFonts w:hint="eastAsia" w:ascii="宋体" w:hAnsi="宋体" w:eastAsia="宋体" w:cs="宋体"/>
        </w:rPr>
      </w:pPr>
      <w:r>
        <w:rPr>
          <w:rFonts w:hint="eastAsia" w:ascii="宋体" w:hAnsi="宋体" w:eastAsia="宋体" w:cs="宋体"/>
        </w:rPr>
        <w:t>②合理布局施工场地；</w:t>
      </w:r>
    </w:p>
    <w:p>
      <w:pPr>
        <w:ind w:firstLine="480"/>
        <w:rPr>
          <w:rFonts w:hint="eastAsia" w:ascii="宋体" w:hAnsi="宋体" w:eastAsia="宋体" w:cs="宋体"/>
        </w:rPr>
      </w:pPr>
      <w:r>
        <w:rPr>
          <w:rFonts w:hint="eastAsia" w:ascii="宋体" w:hAnsi="宋体" w:eastAsia="宋体" w:cs="宋体"/>
        </w:rPr>
        <w:t>③施工机械的作业时间在7：00至12：00，14：00至22：00时，夜间不施工。</w:t>
      </w:r>
    </w:p>
    <w:p>
      <w:pPr>
        <w:ind w:firstLine="480"/>
        <w:rPr>
          <w:rFonts w:hint="eastAsia" w:ascii="宋体" w:hAnsi="宋体" w:eastAsia="宋体" w:cs="宋体"/>
        </w:rPr>
      </w:pPr>
      <w:r>
        <w:rPr>
          <w:rFonts w:hint="eastAsia" w:ascii="宋体" w:hAnsi="宋体" w:eastAsia="宋体" w:cs="宋体"/>
        </w:rPr>
        <w:t>（4）施工期固体废物污染防治措施</w:t>
      </w:r>
    </w:p>
    <w:p>
      <w:pPr>
        <w:ind w:firstLine="480"/>
        <w:rPr>
          <w:rFonts w:hint="eastAsia" w:ascii="宋体" w:hAnsi="宋体" w:eastAsia="宋体" w:cs="宋体"/>
        </w:rPr>
      </w:pPr>
      <w:r>
        <w:rPr>
          <w:rFonts w:hint="eastAsia" w:ascii="宋体" w:hAnsi="宋体" w:eastAsia="宋体" w:cs="宋体"/>
        </w:rPr>
        <w:t>施工期主要为设备安装，施工过程中产生的固体废弃物主要为施工人员生活垃圾，厂区内设置垃圾收集装置，生活垃圾经分类收集后交由环卫部门定期处置。</w:t>
      </w:r>
    </w:p>
    <w:p>
      <w:pPr>
        <w:ind w:firstLine="480"/>
        <w:rPr>
          <w:rFonts w:hint="eastAsia" w:ascii="宋体" w:hAnsi="宋体" w:eastAsia="宋体" w:cs="宋体"/>
        </w:rPr>
      </w:pPr>
      <w:r>
        <w:rPr>
          <w:rFonts w:hint="eastAsia" w:ascii="宋体" w:hAnsi="宋体" w:eastAsia="宋体" w:cs="宋体"/>
        </w:rPr>
        <w:t>综上，本项目施工期间产生的扬尘、固体废物和噪声污染、施工期施工人员产生和排放的施工废水和生活污水均得到合理处置，对周边环境影响较小。</w:t>
      </w:r>
    </w:p>
    <w:p>
      <w:pPr>
        <w:pStyle w:val="5"/>
        <w:rPr>
          <w:rFonts w:hint="eastAsia" w:ascii="宋体" w:hAnsi="宋体" w:eastAsia="宋体" w:cs="宋体"/>
        </w:rPr>
      </w:pPr>
      <w:bookmarkStart w:id="34" w:name="_Toc32566"/>
      <w:r>
        <w:rPr>
          <w:rFonts w:hint="eastAsia" w:ascii="宋体" w:hAnsi="宋体" w:eastAsia="宋体" w:cs="宋体"/>
        </w:rPr>
        <w:t>3.2运营期污染源及治理措施</w:t>
      </w:r>
      <w:bookmarkEnd w:id="34"/>
    </w:p>
    <w:p>
      <w:pPr>
        <w:pStyle w:val="6"/>
        <w:rPr>
          <w:rFonts w:hint="eastAsia" w:ascii="宋体" w:hAnsi="宋体" w:eastAsia="宋体" w:cs="宋体"/>
        </w:rPr>
      </w:pPr>
      <w:r>
        <w:rPr>
          <w:rFonts w:hint="eastAsia" w:ascii="宋体" w:hAnsi="宋体" w:eastAsia="宋体" w:cs="宋体"/>
        </w:rPr>
        <w:t>3.2.1大气污染源及治理措施</w:t>
      </w:r>
    </w:p>
    <w:p>
      <w:pPr>
        <w:ind w:firstLine="480"/>
        <w:rPr>
          <w:rFonts w:hint="eastAsia" w:ascii="宋体" w:hAnsi="宋体" w:eastAsia="宋体" w:cs="宋体"/>
        </w:rPr>
      </w:pPr>
      <w:r>
        <w:rPr>
          <w:rFonts w:hint="eastAsia" w:ascii="宋体" w:hAnsi="宋体" w:eastAsia="宋体" w:cs="宋体"/>
        </w:rPr>
        <w:t>本技改项目主要</w:t>
      </w:r>
      <w:r>
        <w:rPr>
          <w:rFonts w:hint="eastAsia" w:ascii="宋体" w:hAnsi="宋体" w:cs="宋体"/>
          <w:lang w:val="en-US" w:eastAsia="zh-CN"/>
        </w:rPr>
        <w:t>为设置在线环保监测系统一套，更换洒水车，更换车辆喷淋设备一套，硬化道路和院面，更换除尘设施等</w:t>
      </w:r>
      <w:r>
        <w:rPr>
          <w:rFonts w:hint="eastAsia" w:ascii="宋体" w:hAnsi="宋体" w:eastAsia="宋体" w:cs="宋体"/>
        </w:rPr>
        <w:t>，改造完成后，全厂运营过程中产生的废气主要为①原料运输、堆卸粉尘、配料粉尘；②筒仓呼吸粉尘；③搅拌粉尘。</w:t>
      </w:r>
    </w:p>
    <w:p>
      <w:pPr>
        <w:ind w:firstLine="480"/>
        <w:rPr>
          <w:rFonts w:hint="eastAsia" w:ascii="宋体" w:hAnsi="宋体" w:eastAsia="宋体" w:cs="宋体"/>
        </w:rPr>
      </w:pPr>
      <w:r>
        <w:rPr>
          <w:rFonts w:hint="eastAsia" w:ascii="宋体" w:hAnsi="宋体" w:eastAsia="宋体" w:cs="宋体"/>
        </w:rPr>
        <w:t>①原料运输、堆卸粉尘、配料粉尘</w:t>
      </w:r>
    </w:p>
    <w:p>
      <w:pPr>
        <w:ind w:firstLine="480"/>
        <w:rPr>
          <w:rFonts w:hint="eastAsia" w:ascii="宋体" w:hAnsi="宋体" w:eastAsia="宋体" w:cs="宋体"/>
        </w:rPr>
      </w:pPr>
      <w:r>
        <w:rPr>
          <w:rFonts w:hint="eastAsia" w:ascii="宋体" w:hAnsi="宋体" w:eastAsia="宋体" w:cs="宋体"/>
        </w:rPr>
        <w:t>项目原料及成品运输车辆在厂区内行驶时会产生一定量的扬尘。为防治运输扬尘污染，厂区及道路进行绿化硬化，项目易起尘物料运输时加强覆盖，运输车辆在厂区内缓速慢行，车辆进出厂时进行轮胎冲洗，厂区定时清扫洒水。采取措施后由于车辆运输所产生的扬尘量较小。</w:t>
      </w:r>
    </w:p>
    <w:p>
      <w:pPr>
        <w:ind w:firstLine="480"/>
        <w:rPr>
          <w:rFonts w:hint="eastAsia" w:ascii="宋体" w:hAnsi="宋体" w:eastAsia="宋体" w:cs="宋体"/>
        </w:rPr>
      </w:pPr>
      <w:r>
        <w:rPr>
          <w:rFonts w:hint="eastAsia" w:ascii="宋体" w:hAnsi="宋体" w:eastAsia="宋体" w:cs="宋体"/>
        </w:rPr>
        <w:t>本项目所用砂石料为外购，由自卸车辆运至密闭原料库暂存，受风力扰动较小。原料库为全封闭结构，留设车辆出入大门。车间内采取喷淋洒水措施保持物料表面湿润，因此物料堆存粉尘产生量较小。</w:t>
      </w:r>
    </w:p>
    <w:p>
      <w:pPr>
        <w:ind w:firstLine="480"/>
        <w:rPr>
          <w:rFonts w:hint="eastAsia" w:ascii="宋体" w:hAnsi="宋体" w:eastAsia="宋体" w:cs="宋体"/>
          <w:lang w:eastAsia="zh-CN"/>
        </w:rPr>
      </w:pPr>
      <w:r>
        <w:rPr>
          <w:rFonts w:hint="eastAsia" w:ascii="宋体" w:hAnsi="宋体" w:eastAsia="宋体" w:cs="宋体"/>
        </w:rPr>
        <w:t>厂区堆场中的骨料由装卸机送料至骨料仓，计量好的骨料经搅拌站配套的密闭皮带输送至搅拌主楼的储料斗进入搅拌机内。水泥、矿渣粉等则以压缩空气吹入散装水泥筒仓，辅以螺旋输送机给水泥秤供料，称重完物料直接进入搅拌机搅拌，因此粉料配料过程粉尘产生量较少。</w:t>
      </w:r>
    </w:p>
    <w:p>
      <w:pPr>
        <w:pStyle w:val="2"/>
        <w:rPr>
          <w:rFonts w:hint="eastAsia" w:eastAsia="宋体"/>
          <w:lang w:eastAsia="zh-CN"/>
        </w:rPr>
      </w:pPr>
      <w:r>
        <w:rPr>
          <w:color w:val="000000" w:themeColor="text1"/>
          <w:sz w:val="24"/>
          <w14:textFill>
            <w14:solidFill>
              <w14:schemeClr w14:val="tx1"/>
            </w14:solidFill>
          </w14:textFill>
        </w:rPr>
        <w:drawing>
          <wp:anchor distT="0" distB="0" distL="114300" distR="114300" simplePos="0" relativeHeight="251676672" behindDoc="1" locked="0" layoutInCell="1" allowOverlap="1">
            <wp:simplePos x="0" y="0"/>
            <wp:positionH relativeFrom="column">
              <wp:posOffset>2783840</wp:posOffset>
            </wp:positionH>
            <wp:positionV relativeFrom="paragraph">
              <wp:posOffset>85090</wp:posOffset>
            </wp:positionV>
            <wp:extent cx="2538095" cy="2433320"/>
            <wp:effectExtent l="12700" t="12700" r="20955" b="30480"/>
            <wp:wrapNone/>
            <wp:docPr id="3" name="图片 3" descr="0e95744acc4abc601f4cea154ec4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e95744acc4abc601f4cea154ec4cee"/>
                    <pic:cNvPicPr>
                      <a:picLocks noChangeAspect="1"/>
                    </pic:cNvPicPr>
                  </pic:nvPicPr>
                  <pic:blipFill>
                    <a:blip r:embed="rId23"/>
                    <a:stretch>
                      <a:fillRect/>
                    </a:stretch>
                  </pic:blipFill>
                  <pic:spPr>
                    <a:xfrm>
                      <a:off x="0" y="0"/>
                      <a:ext cx="2538095" cy="2433320"/>
                    </a:xfrm>
                    <a:prstGeom prst="rect">
                      <a:avLst/>
                    </a:prstGeom>
                    <a:ln w="12700" cmpd="sng">
                      <a:solidFill>
                        <a:schemeClr val="tx1"/>
                      </a:solidFill>
                      <a:prstDash val="solid"/>
                    </a:ln>
                  </pic:spPr>
                </pic:pic>
              </a:graphicData>
            </a:graphic>
          </wp:anchor>
        </w:drawing>
      </w:r>
      <w:r>
        <w:rPr>
          <w:rFonts w:hint="eastAsia" w:ascii="宋体" w:hAnsi="宋体" w:eastAsia="宋体" w:cs="宋体"/>
          <w:lang w:eastAsia="zh-CN"/>
        </w:rPr>
        <w:drawing>
          <wp:anchor distT="0" distB="0" distL="114300" distR="114300" simplePos="0" relativeHeight="251676672" behindDoc="1" locked="0" layoutInCell="1" allowOverlap="1">
            <wp:simplePos x="0" y="0"/>
            <wp:positionH relativeFrom="column">
              <wp:posOffset>-97790</wp:posOffset>
            </wp:positionH>
            <wp:positionV relativeFrom="paragraph">
              <wp:posOffset>92075</wp:posOffset>
            </wp:positionV>
            <wp:extent cx="2844165" cy="2409190"/>
            <wp:effectExtent l="12700" t="12700" r="19685" b="16510"/>
            <wp:wrapNone/>
            <wp:docPr id="6" name="图片 6" descr="a00511e2a052c553849b3b3643c2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0511e2a052c553849b3b3643c2e5a"/>
                    <pic:cNvPicPr>
                      <a:picLocks noChangeAspect="1"/>
                    </pic:cNvPicPr>
                  </pic:nvPicPr>
                  <pic:blipFill>
                    <a:blip r:embed="rId24"/>
                    <a:stretch>
                      <a:fillRect/>
                    </a:stretch>
                  </pic:blipFill>
                  <pic:spPr>
                    <a:xfrm>
                      <a:off x="0" y="0"/>
                      <a:ext cx="2844165" cy="2409190"/>
                    </a:xfrm>
                    <a:prstGeom prst="rect">
                      <a:avLst/>
                    </a:prstGeom>
                    <a:ln w="12700" cmpd="sng">
                      <a:solidFill>
                        <a:schemeClr val="tx1"/>
                      </a:solidFill>
                      <a:prstDash val="solid"/>
                    </a:ln>
                  </pic:spPr>
                </pic:pic>
              </a:graphicData>
            </a:graphic>
          </wp:anchor>
        </w:drawing>
      </w:r>
      <w:r>
        <w:rPr>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3338830</wp:posOffset>
                </wp:positionH>
                <wp:positionV relativeFrom="paragraph">
                  <wp:posOffset>1887855</wp:posOffset>
                </wp:positionV>
                <wp:extent cx="1601470" cy="3727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抑尘装置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9pt;margin-top:148.65pt;height:29.35pt;width:126.1pt;z-index:251660288;mso-width-relative:page;mso-height-relative:page;" filled="f" stroked="f" coordsize="21600,21600" o:gfxdata="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&#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jluz9wAAAALAQAADwAAAAAAAAABACAAAAAiAAAA&#10;ZHJzL2Rvd25yZXYueG1sUEsBAhQAFAAAAAgAh07iQGC/N8g8AgAAZgQAAA4AAAAAAAAAAQAgAAAA&#10;KwEAAGRycy9lMm9Eb2MueG1sUEsFBgAAAAAGAAYAWQEAANkFA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抑尘装置</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564515</wp:posOffset>
                </wp:positionH>
                <wp:positionV relativeFrom="paragraph">
                  <wp:posOffset>1913255</wp:posOffset>
                </wp:positionV>
                <wp:extent cx="1601470" cy="37274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密闭原料库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45pt;margin-top:150.65pt;height:29.35pt;width:126.1pt;z-index:251659264;mso-width-relative:page;mso-height-relative:page;" filled="f" stroked="f" coordsize="21600,21600" o:gfxdata="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HLrsPbAAAACgEAAA8AAAAAAAAAAQAgAAAAIgAAAGRy&#10;cy9kb3ducmV2LnhtbFBLAQIUABQAAAAIAIdO4kAitLqdOwIAAGYEAAAOAAAAAAAAAAEAIAAAACoB&#10;AABkcnMvZTJvRG9jLnhtbFBLBQYAAAAABgAGAFkBAADXBQ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密闭原料库</w:t>
                      </w:r>
                    </w:p>
                  </w:txbxContent>
                </v:textbox>
              </v:shape>
            </w:pict>
          </mc:Fallback>
        </mc:AlternateContent>
      </w:r>
    </w:p>
    <w:p>
      <w:pPr>
        <w:ind w:firstLine="480"/>
        <w:rPr>
          <w:rFonts w:hint="eastAsia" w:ascii="宋体" w:hAnsi="宋体" w:eastAsia="宋体" w:cs="宋体"/>
        </w:rPr>
      </w:pPr>
    </w:p>
    <w:p>
      <w:pPr>
        <w:ind w:firstLine="480"/>
        <w:rPr>
          <w:rFonts w:hint="eastAsia" w:ascii="宋体" w:hAnsi="宋体" w:eastAsia="宋体" w:cs="宋体"/>
        </w:rPr>
      </w:pPr>
    </w:p>
    <w:p>
      <w:pPr>
        <w:ind w:firstLine="480"/>
        <w:rPr>
          <w:rFonts w:hint="eastAsia" w:ascii="宋体" w:hAnsi="宋体" w:eastAsia="宋体" w:cs="宋体"/>
          <w:lang w:eastAsia="zh-CN"/>
        </w:rPr>
      </w:pPr>
    </w:p>
    <w:p>
      <w:pPr>
        <w:ind w:firstLine="480"/>
        <w:rPr>
          <w:rFonts w:hint="eastAsia" w:ascii="宋体" w:hAnsi="宋体" w:eastAsia="宋体" w:cs="宋体"/>
        </w:rPr>
      </w:pPr>
    </w:p>
    <w:p>
      <w:pPr>
        <w:ind w:firstLine="480"/>
        <w:rPr>
          <w:rFonts w:hint="eastAsia" w:ascii="宋体" w:hAnsi="宋体" w:eastAsia="宋体" w:cs="宋体"/>
        </w:rPr>
      </w:pPr>
    </w:p>
    <w:p>
      <w:pPr>
        <w:ind w:firstLine="480"/>
        <w:rPr>
          <w:rFonts w:hint="eastAsia" w:ascii="宋体" w:hAnsi="宋体" w:eastAsia="宋体" w:cs="宋体"/>
        </w:rPr>
      </w:pPr>
    </w:p>
    <w:p>
      <w:pPr>
        <w:ind w:firstLine="480"/>
        <w:rPr>
          <w:rFonts w:hint="eastAsia" w:ascii="宋体" w:hAnsi="宋体" w:eastAsia="宋体" w:cs="宋体"/>
        </w:rPr>
      </w:pPr>
    </w:p>
    <w:p>
      <w:pPr>
        <w:ind w:firstLine="480"/>
        <w:rPr>
          <w:rFonts w:hint="eastAsia" w:ascii="宋体" w:hAnsi="宋体" w:eastAsia="宋体" w:cs="宋体"/>
        </w:rPr>
      </w:pPr>
      <w:r>
        <w:rPr>
          <w:rFonts w:hint="eastAsia" w:ascii="宋体" w:hAnsi="宋体" w:eastAsia="宋体" w:cs="宋体"/>
        </w:rPr>
        <w:drawing>
          <wp:anchor distT="0" distB="0" distL="114300" distR="114300" simplePos="0" relativeHeight="251676672" behindDoc="1" locked="0" layoutInCell="1" allowOverlap="1">
            <wp:simplePos x="0" y="0"/>
            <wp:positionH relativeFrom="column">
              <wp:posOffset>2760980</wp:posOffset>
            </wp:positionH>
            <wp:positionV relativeFrom="paragraph">
              <wp:posOffset>245745</wp:posOffset>
            </wp:positionV>
            <wp:extent cx="2837815" cy="2351405"/>
            <wp:effectExtent l="12700" t="12700" r="26035" b="17145"/>
            <wp:wrapNone/>
            <wp:docPr id="7" name="图片 7" descr="37815c7b5b0ca630c5743ef7ca33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7815c7b5b0ca630c5743ef7ca33e68"/>
                    <pic:cNvPicPr>
                      <a:picLocks noChangeAspect="1"/>
                    </pic:cNvPicPr>
                  </pic:nvPicPr>
                  <pic:blipFill>
                    <a:blip r:embed="rId25"/>
                    <a:stretch>
                      <a:fillRect/>
                    </a:stretch>
                  </pic:blipFill>
                  <pic:spPr>
                    <a:xfrm>
                      <a:off x="0" y="0"/>
                      <a:ext cx="2837815" cy="2351405"/>
                    </a:xfrm>
                    <a:prstGeom prst="rect">
                      <a:avLst/>
                    </a:prstGeom>
                    <a:ln w="12700" cmpd="sng">
                      <a:solidFill>
                        <a:schemeClr val="tx1"/>
                      </a:solidFill>
                      <a:prstDash val="solid"/>
                    </a:ln>
                  </pic:spPr>
                </pic:pic>
              </a:graphicData>
            </a:graphic>
          </wp:anchor>
        </w:drawing>
      </w:r>
      <w:r>
        <w:rPr>
          <w:rFonts w:hint="eastAsia" w:ascii="宋体" w:hAnsi="宋体" w:eastAsia="宋体" w:cs="宋体"/>
          <w:lang w:eastAsia="zh-CN"/>
        </w:rPr>
        <w:drawing>
          <wp:anchor distT="0" distB="0" distL="114300" distR="114300" simplePos="0" relativeHeight="251663360" behindDoc="1" locked="0" layoutInCell="1" allowOverlap="1">
            <wp:simplePos x="0" y="0"/>
            <wp:positionH relativeFrom="column">
              <wp:posOffset>-73025</wp:posOffset>
            </wp:positionH>
            <wp:positionV relativeFrom="paragraph">
              <wp:posOffset>239395</wp:posOffset>
            </wp:positionV>
            <wp:extent cx="2778125" cy="2331085"/>
            <wp:effectExtent l="12700" t="12700" r="28575" b="18415"/>
            <wp:wrapNone/>
            <wp:docPr id="23" name="图片 23" descr="fb9da9677c32c263ab7a5944f89e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b9da9677c32c263ab7a5944f89e3b4"/>
                    <pic:cNvPicPr>
                      <a:picLocks noChangeAspect="1"/>
                    </pic:cNvPicPr>
                  </pic:nvPicPr>
                  <pic:blipFill>
                    <a:blip r:embed="rId26"/>
                    <a:stretch>
                      <a:fillRect/>
                    </a:stretch>
                  </pic:blipFill>
                  <pic:spPr>
                    <a:xfrm>
                      <a:off x="0" y="0"/>
                      <a:ext cx="2778125" cy="2331085"/>
                    </a:xfrm>
                    <a:prstGeom prst="rect">
                      <a:avLst/>
                    </a:prstGeom>
                    <a:ln w="12700" cmpd="sng">
                      <a:solidFill>
                        <a:schemeClr val="tx1"/>
                      </a:solidFill>
                      <a:prstDash val="solid"/>
                    </a:ln>
                  </pic:spPr>
                </pic:pic>
              </a:graphicData>
            </a:graphic>
          </wp:anchor>
        </w:drawing>
      </w: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lang w:eastAsia="zh-CN"/>
        </w:rPr>
      </w:pPr>
    </w:p>
    <w:p>
      <w:pPr>
        <w:pStyle w:val="2"/>
        <w:rPr>
          <w:rFonts w:hint="eastAsia" w:ascii="宋体" w:hAnsi="宋体" w:eastAsia="宋体" w:cs="宋体"/>
        </w:rPr>
      </w:pPr>
    </w:p>
    <w:p>
      <w:pPr>
        <w:pStyle w:val="2"/>
        <w:rPr>
          <w:rFonts w:hint="eastAsia" w:ascii="宋体" w:hAnsi="宋体" w:eastAsia="宋体" w:cs="宋体"/>
        </w:rPr>
      </w:pPr>
      <w:r>
        <w:rPr>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3469005</wp:posOffset>
                </wp:positionH>
                <wp:positionV relativeFrom="paragraph">
                  <wp:posOffset>226060</wp:posOffset>
                </wp:positionV>
                <wp:extent cx="1601470" cy="37274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扬尘在线监测系统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15pt;margin-top:17.8pt;height:29.35pt;width:126.1pt;z-index:251661312;mso-width-relative:page;mso-height-relative:page;" filled="f" stroked="f" coordsize="21600,21600" o:gfxdata="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qw7iN2wAAAAkBAAAPAAAAAAAAAAEAIAAAACIAAABk&#10;cnMvZG93bnJldi54bWxQSwECFAAUAAAACACHTuJAuM8E0TwCAABmBAAADgAAAAAAAAABACAAAAAq&#10;AQAAZHJzL2Uyb0RvYy54bWxQSwUGAAAAAAYABgBZAQAA2AU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扬尘在线监测系统</w:t>
                      </w:r>
                    </w:p>
                  </w:txbxContent>
                </v:textbox>
              </v:shape>
            </w:pict>
          </mc:Fallback>
        </mc:AlternateContent>
      </w:r>
    </w:p>
    <w:p>
      <w:pPr>
        <w:pStyle w:val="2"/>
        <w:rPr>
          <w:rFonts w:hint="eastAsia" w:ascii="宋体" w:hAnsi="宋体" w:eastAsia="宋体" w:cs="宋体"/>
        </w:rPr>
      </w:pPr>
      <w:r>
        <w:rPr>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534670</wp:posOffset>
                </wp:positionH>
                <wp:positionV relativeFrom="paragraph">
                  <wp:posOffset>4445</wp:posOffset>
                </wp:positionV>
                <wp:extent cx="1601470" cy="37274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道路硬化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pt;margin-top:0.35pt;height:29.35pt;width:126.1pt;z-index:251664384;mso-width-relative:page;mso-height-relative:page;" filled="f" stroked="f" coordsize="21600,21600" o:gfxdata="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Ad+Ip2AAAAAYBAAAPAAAAAAAAAAEAIAAAACIAAABkcnMv&#10;ZG93bnJldi54bWxQSwECFAAUAAAACACHTuJAXPw5DTwCAABoBAAADgAAAAAAAAABACAAAAAnAQAA&#10;ZHJzL2Uyb0RvYy54bWxQSwUGAAAAAAYABgBZAQAA1QU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道路硬化</w:t>
                      </w:r>
                    </w:p>
                  </w:txbxContent>
                </v:textbox>
              </v:shape>
            </w:pict>
          </mc:Fallback>
        </mc:AlternateContent>
      </w:r>
    </w:p>
    <w:p>
      <w:pPr>
        <w:pStyle w:val="2"/>
        <w:rPr>
          <w:rFonts w:hint="eastAsia" w:ascii="宋体" w:hAnsi="宋体" w:eastAsia="宋体" w:cs="宋体"/>
        </w:rPr>
      </w:pPr>
      <w:r>
        <w:rPr>
          <w:rFonts w:hint="eastAsia" w:ascii="宋体" w:hAnsi="宋体" w:eastAsia="宋体" w:cs="宋体"/>
          <w:lang w:eastAsia="zh-CN"/>
        </w:rPr>
        <w:drawing>
          <wp:anchor distT="0" distB="0" distL="114300" distR="114300" simplePos="0" relativeHeight="251676672" behindDoc="1" locked="0" layoutInCell="1" allowOverlap="1">
            <wp:simplePos x="0" y="0"/>
            <wp:positionH relativeFrom="column">
              <wp:posOffset>-96520</wp:posOffset>
            </wp:positionH>
            <wp:positionV relativeFrom="paragraph">
              <wp:posOffset>254635</wp:posOffset>
            </wp:positionV>
            <wp:extent cx="5727065" cy="3877945"/>
            <wp:effectExtent l="12700" t="12700" r="13335" b="14605"/>
            <wp:wrapNone/>
            <wp:docPr id="9" name="图片 9" descr="260f6dec230a2d697343e22aa0d8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60f6dec230a2d697343e22aa0d8d4f"/>
                    <pic:cNvPicPr>
                      <a:picLocks noChangeAspect="1"/>
                    </pic:cNvPicPr>
                  </pic:nvPicPr>
                  <pic:blipFill>
                    <a:blip r:embed="rId27"/>
                    <a:srcRect t="27805" b="33938"/>
                    <a:stretch>
                      <a:fillRect/>
                    </a:stretch>
                  </pic:blipFill>
                  <pic:spPr>
                    <a:xfrm>
                      <a:off x="0" y="0"/>
                      <a:ext cx="5727065" cy="3877945"/>
                    </a:xfrm>
                    <a:prstGeom prst="rect">
                      <a:avLst/>
                    </a:prstGeom>
                    <a:ln w="12700" cmpd="sng">
                      <a:solidFill>
                        <a:schemeClr val="tx1"/>
                      </a:solidFill>
                      <a:prstDash val="solid"/>
                    </a:ln>
                  </pic:spPr>
                </pic:pic>
              </a:graphicData>
            </a:graphic>
          </wp:anchor>
        </w:drawing>
      </w:r>
    </w:p>
    <w:p>
      <w:pPr>
        <w:pStyle w:val="2"/>
        <w:rPr>
          <w:rFonts w:hint="eastAsia" w:ascii="宋体" w:hAnsi="宋体" w:eastAsia="宋体" w:cs="宋体"/>
          <w:lang w:eastAsia="zh-CN"/>
        </w:rPr>
      </w:pPr>
    </w:p>
    <w:p>
      <w:pPr>
        <w:pStyle w:val="2"/>
        <w:rPr>
          <w:rFonts w:hint="eastAsia" w:ascii="宋体" w:hAnsi="宋体" w:eastAsia="宋体" w:cs="宋体"/>
          <w:lang w:eastAsia="zh-CN"/>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r>
        <w:rPr>
          <w:color w:val="000000" w:themeColor="text1"/>
          <w:sz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1966595</wp:posOffset>
                </wp:positionH>
                <wp:positionV relativeFrom="paragraph">
                  <wp:posOffset>51435</wp:posOffset>
                </wp:positionV>
                <wp:extent cx="1807210" cy="37274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0721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进厂车辆冲洗设备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85pt;margin-top:4.05pt;height:29.35pt;width:142.3pt;z-index:251668480;mso-width-relative:page;mso-height-relative:page;" filled="f" stroked="f" coordsize="21600,21600" o:gfxdata="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qwOF2gAAAAgBAAAPAAAAAAAAAAEAIAAAACIAAABk&#10;cnMvZG93bnJldi54bWxQSwECFAAUAAAACACHTuJAK5p8FT0CAABoBAAADgAAAAAAAAABACAAAAAp&#10;AQAAZHJzL2Uyb0RvYy54bWxQSwUGAAAAAAYABgBZAQAA2AU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进厂车辆冲洗设备</w:t>
                      </w:r>
                    </w:p>
                  </w:txbxContent>
                </v:textbox>
              </v:shape>
            </w:pict>
          </mc:Fallback>
        </mc:AlternateContent>
      </w: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lang w:eastAsia="zh-CN"/>
        </w:rPr>
      </w:pPr>
      <w:r>
        <w:rPr>
          <w:rFonts w:hint="eastAsia" w:ascii="宋体" w:hAnsi="宋体" w:eastAsia="宋体" w:cs="宋体"/>
        </w:rPr>
        <w:t>②筒仓呼吸粉尘</w:t>
      </w:r>
    </w:p>
    <w:p>
      <w:pPr>
        <w:ind w:firstLine="480"/>
        <w:rPr>
          <w:rFonts w:hint="eastAsia" w:ascii="宋体" w:hAnsi="宋体" w:eastAsia="宋体" w:cs="宋体"/>
        </w:rPr>
      </w:pPr>
      <w:r>
        <w:rPr>
          <w:rFonts w:hint="eastAsia" w:ascii="宋体" w:hAnsi="宋体" w:eastAsia="宋体" w:cs="宋体"/>
        </w:rPr>
        <w:t>项目粉状原料由专用罐车运至厂内，通过气力输送至密封筒仓内，由于受气流冲击，粉状原料可从筒仓顶气孔排至大气中。本项目建设完成后厂区</w:t>
      </w:r>
      <w:r>
        <w:rPr>
          <w:rFonts w:hint="eastAsia" w:ascii="宋体" w:hAnsi="宋体" w:cs="宋体"/>
          <w:lang w:val="en-US" w:eastAsia="zh-CN"/>
        </w:rPr>
        <w:t>混凝土生产配套8个筒仓，经筒仓顶部分别配套的除尘设施处理后排放口高度不低于15米排放；预拌干粉砂浆配套5个筒仓，每3座粉料罐仓顶呼吸口通过管道连接后共用一台除尘器，2座储料罐仓顶呼吸口通过管道连接后共用一台除尘器，共设置两台除尘器。</w:t>
      </w:r>
      <w:r>
        <w:rPr>
          <w:rFonts w:hint="eastAsia" w:ascii="宋体" w:hAnsi="宋体" w:eastAsia="宋体" w:cs="宋体"/>
        </w:rPr>
        <w:t>项目每个筒仓负压工作，粉料入仓时产生的粉尘均经仓顶密闭式收尘器处理，收集的粉尘经脉冲震荡后回落于料筒中用于产品，外排粉尘量极少。</w:t>
      </w:r>
    </w:p>
    <w:p>
      <w:pPr>
        <w:ind w:firstLine="482"/>
        <w:rPr>
          <w:color w:val="000000" w:themeColor="text1"/>
          <w14:textFill>
            <w14:solidFill>
              <w14:schemeClr w14:val="tx1"/>
            </w14:solidFill>
          </w14:textFill>
        </w:rPr>
      </w:pPr>
      <w:r>
        <w:rPr>
          <w:b/>
          <w:color w:val="000000" w:themeColor="text1"/>
          <w14:textFill>
            <w14:solidFill>
              <w14:schemeClr w14:val="tx1"/>
            </w14:solidFill>
          </w14:textFill>
        </w:rPr>
        <w:t>仓顶脉冲除尘器：</w:t>
      </w:r>
      <w:r>
        <w:rPr>
          <w:color w:val="000000" w:themeColor="text1"/>
          <w14:textFill>
            <w14:solidFill>
              <w14:schemeClr w14:val="tx1"/>
            </w14:solidFill>
          </w14:textFill>
        </w:rPr>
        <w:t>仓顶脉冲除尘器是一种带有一定负压的收尘装置，它适用于各种粉末状物质在机械输送装置输送时产生的粉尘的收尘，不使粉尘散落到空气中。通常由振荡电机，支架，防雨帽，上部筒箱，电器盒，振荡盒，滤芯，密封筒箱，防护网，连接夹子，焊接法兰，密封垫等组成。仓顶除尘器是一种圆形可拆的金属滤筒，底板上有嵌入圆形孔，内部设有滤芯，并扎紧在上端1个振荡器的吊架上，定时振动，使滤芯阻留下来的灰尘降落在仓内。</w:t>
      </w:r>
    </w:p>
    <w:p>
      <w:pPr>
        <w:pStyle w:val="2"/>
        <w:rPr>
          <w:rFonts w:hint="eastAsia" w:eastAsia="宋体"/>
          <w:lang w:eastAsia="zh-CN"/>
        </w:rPr>
      </w:pPr>
      <w:r>
        <w:rPr>
          <w:rFonts w:hint="eastAsia" w:eastAsia="宋体"/>
          <w:lang w:eastAsia="zh-CN"/>
        </w:rPr>
        <w:drawing>
          <wp:anchor distT="0" distB="0" distL="114300" distR="114300" simplePos="0" relativeHeight="251676672" behindDoc="1" locked="0" layoutInCell="1" allowOverlap="1">
            <wp:simplePos x="0" y="0"/>
            <wp:positionH relativeFrom="column">
              <wp:posOffset>-85090</wp:posOffset>
            </wp:positionH>
            <wp:positionV relativeFrom="paragraph">
              <wp:posOffset>26670</wp:posOffset>
            </wp:positionV>
            <wp:extent cx="2662555" cy="3349625"/>
            <wp:effectExtent l="12700" t="12700" r="29845" b="28575"/>
            <wp:wrapNone/>
            <wp:docPr id="10" name="图片 10" descr="f81cca8b6f8987bad96035d83139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81cca8b6f8987bad96035d83139f61"/>
                    <pic:cNvPicPr>
                      <a:picLocks noChangeAspect="1"/>
                    </pic:cNvPicPr>
                  </pic:nvPicPr>
                  <pic:blipFill>
                    <a:blip r:embed="rId28"/>
                    <a:stretch>
                      <a:fillRect/>
                    </a:stretch>
                  </pic:blipFill>
                  <pic:spPr>
                    <a:xfrm>
                      <a:off x="0" y="0"/>
                      <a:ext cx="2662555" cy="3349625"/>
                    </a:xfrm>
                    <a:prstGeom prst="rect">
                      <a:avLst/>
                    </a:prstGeom>
                    <a:ln w="12700" cmpd="sng">
                      <a:solidFill>
                        <a:schemeClr val="tx1"/>
                      </a:solidFill>
                      <a:prstDash val="solid"/>
                    </a:ln>
                  </pic:spPr>
                </pic:pic>
              </a:graphicData>
            </a:graphic>
          </wp:anchor>
        </w:drawing>
      </w:r>
      <w:r>
        <w:rPr>
          <w:rFonts w:hint="eastAsia" w:eastAsia="宋体"/>
          <w:lang w:eastAsia="zh-CN"/>
        </w:rPr>
        <w:drawing>
          <wp:anchor distT="0" distB="0" distL="114300" distR="114300" simplePos="0" relativeHeight="251677696" behindDoc="1" locked="0" layoutInCell="1" allowOverlap="1">
            <wp:simplePos x="0" y="0"/>
            <wp:positionH relativeFrom="column">
              <wp:posOffset>2646045</wp:posOffset>
            </wp:positionH>
            <wp:positionV relativeFrom="paragraph">
              <wp:posOffset>20955</wp:posOffset>
            </wp:positionV>
            <wp:extent cx="2734310" cy="3378835"/>
            <wp:effectExtent l="12700" t="12700" r="15240" b="18415"/>
            <wp:wrapNone/>
            <wp:docPr id="12" name="图片 12" descr="7dbe8beef0625ed85229e389594e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dbe8beef0625ed85229e389594e409"/>
                    <pic:cNvPicPr>
                      <a:picLocks noChangeAspect="1"/>
                    </pic:cNvPicPr>
                  </pic:nvPicPr>
                  <pic:blipFill>
                    <a:blip r:embed="rId29"/>
                    <a:stretch>
                      <a:fillRect/>
                    </a:stretch>
                  </pic:blipFill>
                  <pic:spPr>
                    <a:xfrm>
                      <a:off x="0" y="0"/>
                      <a:ext cx="2734310" cy="3378835"/>
                    </a:xfrm>
                    <a:prstGeom prst="rect">
                      <a:avLst/>
                    </a:prstGeom>
                    <a:ln w="12700" cmpd="sng">
                      <a:solidFill>
                        <a:schemeClr val="tx1"/>
                      </a:solidFill>
                      <a:prstDash val="solid"/>
                    </a:ln>
                  </pic:spPr>
                </pic:pic>
              </a:graphicData>
            </a:graphic>
          </wp:anchor>
        </w:drawing>
      </w:r>
    </w:p>
    <w:p>
      <w:pPr>
        <w:pStyle w:val="2"/>
        <w:rPr>
          <w:rFonts w:hint="eastAsia" w:eastAsia="宋体"/>
          <w:lang w:eastAsia="zh-CN"/>
        </w:rPr>
      </w:pPr>
    </w:p>
    <w:p>
      <w:pPr>
        <w:pStyle w:val="2"/>
        <w:rPr>
          <w:rFonts w:hint="eastAsia" w:eastAsia="宋体"/>
          <w:lang w:eastAsia="zh-CN"/>
        </w:rPr>
      </w:pPr>
      <w:r>
        <w:rPr>
          <w:sz w:val="24"/>
        </w:rPr>
        <mc:AlternateContent>
          <mc:Choice Requires="wps">
            <w:drawing>
              <wp:anchor distT="0" distB="0" distL="114300" distR="114300" simplePos="0" relativeHeight="251676672" behindDoc="0" locked="0" layoutInCell="1" allowOverlap="1">
                <wp:simplePos x="0" y="0"/>
                <wp:positionH relativeFrom="column">
                  <wp:posOffset>1005205</wp:posOffset>
                </wp:positionH>
                <wp:positionV relativeFrom="paragraph">
                  <wp:posOffset>140970</wp:posOffset>
                </wp:positionV>
                <wp:extent cx="287020" cy="137160"/>
                <wp:effectExtent l="9525" t="9525" r="27305" b="24765"/>
                <wp:wrapNone/>
                <wp:docPr id="11" name="矩形 11"/>
                <wp:cNvGraphicFramePr/>
                <a:graphic xmlns:a="http://schemas.openxmlformats.org/drawingml/2006/main">
                  <a:graphicData uri="http://schemas.microsoft.com/office/word/2010/wordprocessingShape">
                    <wps:wsp>
                      <wps:cNvSpPr/>
                      <wps:spPr>
                        <a:xfrm>
                          <a:off x="2148205" y="3798570"/>
                          <a:ext cx="287020" cy="13716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15pt;margin-top:11.1pt;height:10.8pt;width:22.6pt;z-index:251676672;v-text-anchor:middle;mso-width-relative:page;mso-height-relative:page;" filled="f" stroked="t" coordsize="21600,21600" o:gfxdata="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bWt9R1wAAAAkBAAAPAAAAAAAAAAEAIAAAACIAAABkcnMv&#10;ZG93bnJldi54bWxQSwECFAAUAAAACACHTuJA2KGIlHYCAADYBAAADgAAAAAAAAABACAAAAAmAQAA&#10;ZHJzL2Uyb0RvYy54bWxQSwUGAAAAAAYABgBZAQAADgYAAAAA&#10;">
                <v:fill on="f" focussize="0,0"/>
                <v:stroke weight="1.5pt" color="#FF0000 [2404]" miterlimit="8" joinstyle="miter"/>
                <v:imagedata o:title=""/>
                <o:lock v:ext="edit" aspectratio="f"/>
              </v:rect>
            </w:pict>
          </mc:Fallback>
        </mc:AlternateContent>
      </w:r>
    </w:p>
    <w:p>
      <w:pPr>
        <w:pStyle w:val="3"/>
        <w:rPr>
          <w:rFonts w:hint="eastAsia" w:eastAsia="宋体"/>
          <w:lang w:eastAsia="zh-CN"/>
        </w:rPr>
      </w:pPr>
      <w:r>
        <w:rPr>
          <w:sz w:val="24"/>
        </w:rPr>
        <mc:AlternateContent>
          <mc:Choice Requires="wps">
            <w:drawing>
              <wp:anchor distT="0" distB="0" distL="114300" distR="114300" simplePos="0" relativeHeight="251678720" behindDoc="0" locked="0" layoutInCell="1" allowOverlap="1">
                <wp:simplePos x="0" y="0"/>
                <wp:positionH relativeFrom="column">
                  <wp:posOffset>3510280</wp:posOffset>
                </wp:positionH>
                <wp:positionV relativeFrom="paragraph">
                  <wp:posOffset>57150</wp:posOffset>
                </wp:positionV>
                <wp:extent cx="309880" cy="274320"/>
                <wp:effectExtent l="9525" t="9525" r="23495" b="20955"/>
                <wp:wrapNone/>
                <wp:docPr id="13" name="矩形 13"/>
                <wp:cNvGraphicFramePr/>
                <a:graphic xmlns:a="http://schemas.openxmlformats.org/drawingml/2006/main">
                  <a:graphicData uri="http://schemas.microsoft.com/office/word/2010/wordprocessingShape">
                    <wps:wsp>
                      <wps:cNvSpPr/>
                      <wps:spPr>
                        <a:xfrm>
                          <a:off x="0" y="0"/>
                          <a:ext cx="309880" cy="27432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4pt;margin-top:4.5pt;height:21.6pt;width:24.4pt;z-index:251678720;v-text-anchor:middle;mso-width-relative:page;mso-height-relative:page;" filled="f" stroked="t" coordsize="21600,21600" o:gfxdata="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k1vUx1gAAAAgBAAAPAAAAAAAAAAEAIAAAACIAAABkcnMvZG93bnJldi54bWxQ&#10;SwECFAAUAAAACACHTuJAbYILpmsCAADMBAAADgAAAAAAAAABACAAAAAlAQAAZHJzL2Uyb0RvYy54&#10;bWxQSwUGAAAAAAYABgBZAQAAAgYAAAAA&#10;">
                <v:fill on="f" focussize="0,0"/>
                <v:stroke weight="1.5pt" color="#FF0000 [2404]" miterlimit="8" joinstyle="miter"/>
                <v:imagedata o:title=""/>
                <o:lock v:ext="edit" aspectratio="f"/>
              </v:rect>
            </w:pict>
          </mc:Fallback>
        </mc:AlternateContent>
      </w:r>
    </w:p>
    <w:p>
      <w:pPr>
        <w:pStyle w:val="3"/>
        <w:rPr>
          <w:rFonts w:hint="eastAsia" w:eastAsia="宋体"/>
          <w:lang w:eastAsia="zh-CN"/>
        </w:rPr>
      </w:pPr>
    </w:p>
    <w:p>
      <w:pPr>
        <w:pStyle w:val="3"/>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ascii="宋体" w:hAnsi="宋体" w:eastAsia="宋体" w:cs="宋体"/>
          <w:lang w:eastAsia="zh-CN"/>
        </w:rPr>
      </w:pPr>
      <w:r>
        <w:rPr>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349885</wp:posOffset>
                </wp:positionH>
                <wp:positionV relativeFrom="paragraph">
                  <wp:posOffset>195580</wp:posOffset>
                </wp:positionV>
                <wp:extent cx="1601470" cy="37274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筒仓仓顶除尘器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5pt;margin-top:15.4pt;height:29.35pt;width:126.1pt;z-index:251666432;mso-width-relative:page;mso-height-relative:page;" filled="f" stroked="f" coordsize="21600,21600" o:gfxdata="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9v+rNkAAAAIAQAADwAAAAAAAAABACAAAAAiAAAAZHJz&#10;L2Rvd25yZXYueG1sUEsBAhQAFAAAAAgAh07iQO5SS0Y8AgAAaAQAAA4AAAAAAAAAAQAgAAAAKAEA&#10;AGRycy9lMm9Eb2MueG1sUEsFBgAAAAAGAAYAWQEAANYFA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筒仓仓顶除尘器</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3244850</wp:posOffset>
                </wp:positionH>
                <wp:positionV relativeFrom="paragraph">
                  <wp:posOffset>153035</wp:posOffset>
                </wp:positionV>
                <wp:extent cx="1601470" cy="37274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筒仓仓顶除尘器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5pt;margin-top:12.05pt;height:29.35pt;width:126.1pt;z-index:251667456;mso-width-relative:page;mso-height-relative:page;" filled="f" stroked="f" coordsize="21600,21600" o:gfxdata="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YSGFdoAAAAJAQAADwAAAAAAAAABACAAAAAiAAAAZHJz&#10;L2Rvd25yZXYueG1sUEsBAhQAFAAAAAgAh07iQBDYwAA7AgAAaAQAAA4AAAAAAAAAAQAgAAAAKQEA&#10;AGRycy9lMm9Eb2MueG1sUEsFBgAAAAAGAAYAWQEAANYFA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筒仓仓顶除尘器</w:t>
                      </w:r>
                    </w:p>
                  </w:txbxContent>
                </v:textbox>
              </v:shape>
            </w:pict>
          </mc:Fallback>
        </mc:AlternateContent>
      </w:r>
    </w:p>
    <w:p>
      <w:pPr>
        <w:pStyle w:val="2"/>
        <w:rPr>
          <w:rFonts w:hint="eastAsia" w:ascii="宋体" w:hAnsi="宋体" w:eastAsia="宋体" w:cs="宋体"/>
        </w:rPr>
      </w:pPr>
    </w:p>
    <w:p>
      <w:pPr>
        <w:pStyle w:val="2"/>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2"/>
        <w:rPr>
          <w:rFonts w:hint="eastAsia" w:ascii="宋体" w:hAnsi="宋体" w:eastAsia="宋体" w:cs="宋体"/>
        </w:rPr>
      </w:pPr>
      <w:r>
        <w:rPr>
          <w:rFonts w:hint="eastAsia" w:ascii="宋体" w:hAnsi="宋体" w:eastAsia="宋体" w:cs="宋体"/>
        </w:rPr>
        <w:t>③</w:t>
      </w:r>
      <w:r>
        <w:rPr>
          <w:rFonts w:hint="eastAsia"/>
          <w:color w:val="000000" w:themeColor="text1"/>
          <w:lang w:val="en-US" w:eastAsia="zh-CN"/>
          <w14:textFill>
            <w14:solidFill>
              <w14:schemeClr w14:val="tx1"/>
            </w14:solidFill>
          </w14:textFill>
        </w:rPr>
        <w:t>皮带输送粉尘和搅拌粉尘</w:t>
      </w:r>
    </w:p>
    <w:p>
      <w:pPr>
        <w:ind w:firstLine="48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砂子、碎石从堆料场运至储料斗</w:t>
      </w:r>
      <w:r>
        <w:rPr>
          <w:color w:val="000000" w:themeColor="text1"/>
          <w14:textFill>
            <w14:solidFill>
              <w14:schemeClr w14:val="tx1"/>
            </w14:solidFill>
          </w14:textFill>
        </w:rPr>
        <w:t>输送至</w:t>
      </w:r>
      <w:r>
        <w:rPr>
          <w:rFonts w:hint="eastAsia"/>
          <w:color w:val="000000" w:themeColor="text1"/>
          <w14:textFill>
            <w14:solidFill>
              <w14:schemeClr w14:val="tx1"/>
            </w14:solidFill>
          </w14:textFill>
        </w:rPr>
        <w:t>搅拌站</w:t>
      </w:r>
      <w:r>
        <w:rPr>
          <w:color w:val="000000" w:themeColor="text1"/>
          <w14:textFill>
            <w14:solidFill>
              <w14:schemeClr w14:val="tx1"/>
            </w14:solidFill>
          </w14:textFill>
        </w:rPr>
        <w:t>采用皮带输送，项目皮带</w:t>
      </w:r>
      <w:r>
        <w:rPr>
          <w:rFonts w:hint="eastAsia"/>
          <w:color w:val="000000" w:themeColor="text1"/>
          <w14:textFill>
            <w14:solidFill>
              <w14:schemeClr w14:val="tx1"/>
            </w14:solidFill>
          </w14:textFill>
        </w:rPr>
        <w:t>为密闭输送，</w:t>
      </w:r>
      <w:r>
        <w:rPr>
          <w:rFonts w:hint="eastAsia"/>
          <w:color w:val="000000" w:themeColor="text1"/>
          <w:lang w:val="en-US" w:eastAsia="zh-CN"/>
          <w14:textFill>
            <w14:solidFill>
              <w14:schemeClr w14:val="tx1"/>
            </w14:solidFill>
          </w14:textFill>
        </w:rPr>
        <w:t>输送过程中会产生一定的粉尘，此外，</w:t>
      </w:r>
      <w:r>
        <w:rPr>
          <w:rFonts w:hint="eastAsia"/>
          <w:color w:val="000000" w:themeColor="text1"/>
          <w14:textFill>
            <w14:solidFill>
              <w14:schemeClr w14:val="tx1"/>
            </w14:solidFill>
          </w14:textFill>
        </w:rPr>
        <w:t>搅拌初期，由于原料未拌湿，会产生一定的粉尘</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项目皮带运输</w:t>
      </w:r>
      <w:r>
        <w:rPr>
          <w:rFonts w:hint="eastAsia"/>
          <w:color w:val="000000" w:themeColor="text1"/>
          <w14:textFill>
            <w14:solidFill>
              <w14:schemeClr w14:val="tx1"/>
            </w14:solidFill>
          </w14:textFill>
        </w:rPr>
        <w:t>产生的粉尘与搅拌粉尘一同</w:t>
      </w:r>
      <w:r>
        <w:rPr>
          <w:rFonts w:hint="eastAsia"/>
          <w:color w:val="000000" w:themeColor="text1"/>
          <w:lang w:val="en-US" w:eastAsia="zh-CN"/>
          <w14:textFill>
            <w14:solidFill>
              <w14:schemeClr w14:val="tx1"/>
            </w14:solidFill>
          </w14:textFill>
        </w:rPr>
        <w:t>经搅拌站布袋除尘器</w:t>
      </w:r>
      <w:r>
        <w:rPr>
          <w:rFonts w:hint="eastAsia"/>
          <w:color w:val="000000" w:themeColor="text1"/>
          <w14:textFill>
            <w14:solidFill>
              <w14:schemeClr w14:val="tx1"/>
            </w14:solidFill>
          </w14:textFill>
        </w:rPr>
        <w:t>处置</w:t>
      </w:r>
      <w:r>
        <w:rPr>
          <w:rFonts w:hint="eastAsia"/>
          <w:color w:val="000000" w:themeColor="text1"/>
          <w:lang w:eastAsia="zh-CN"/>
          <w14:textFill>
            <w14:solidFill>
              <w14:schemeClr w14:val="tx1"/>
            </w14:solidFill>
          </w14:textFill>
        </w:rPr>
        <w:t>。</w:t>
      </w:r>
    </w:p>
    <w:p>
      <w:pPr>
        <w:pStyle w:val="2"/>
        <w:rPr>
          <w:rFonts w:hint="eastAsia"/>
          <w:lang w:eastAsia="zh-CN"/>
        </w:rPr>
      </w:pPr>
      <w:r>
        <w:rPr>
          <w:rFonts w:hint="eastAsia" w:ascii="宋体" w:hAnsi="宋体" w:eastAsia="宋体" w:cs="宋体"/>
        </w:rPr>
        <w:drawing>
          <wp:anchor distT="0" distB="0" distL="114300" distR="114300" simplePos="0" relativeHeight="251669504" behindDoc="1" locked="0" layoutInCell="1" allowOverlap="1">
            <wp:simplePos x="0" y="0"/>
            <wp:positionH relativeFrom="column">
              <wp:posOffset>2612390</wp:posOffset>
            </wp:positionH>
            <wp:positionV relativeFrom="paragraph">
              <wp:posOffset>191135</wp:posOffset>
            </wp:positionV>
            <wp:extent cx="2870835" cy="2727325"/>
            <wp:effectExtent l="12700" t="12700" r="22225" b="31115"/>
            <wp:wrapNone/>
            <wp:docPr id="40" name="图片 40" descr="6ce056060a9582bd34e4743dcf25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ce056060a9582bd34e4743dcf25a84"/>
                    <pic:cNvPicPr>
                      <a:picLocks noChangeAspect="1"/>
                    </pic:cNvPicPr>
                  </pic:nvPicPr>
                  <pic:blipFill>
                    <a:blip r:embed="rId30"/>
                    <a:stretch>
                      <a:fillRect/>
                    </a:stretch>
                  </pic:blipFill>
                  <pic:spPr>
                    <a:xfrm rot="5400000">
                      <a:off x="0" y="0"/>
                      <a:ext cx="2870835" cy="2727325"/>
                    </a:xfrm>
                    <a:prstGeom prst="rect">
                      <a:avLst/>
                    </a:prstGeom>
                    <a:ln w="12700" cmpd="sng">
                      <a:solidFill>
                        <a:schemeClr val="tx1"/>
                      </a:solidFill>
                      <a:prstDash val="solid"/>
                    </a:ln>
                  </pic:spPr>
                </pic:pic>
              </a:graphicData>
            </a:graphic>
          </wp:anchor>
        </w:drawing>
      </w:r>
      <w:r>
        <w:rPr>
          <w:rFonts w:hint="eastAsia" w:ascii="宋体" w:hAnsi="宋体" w:eastAsia="宋体" w:cs="宋体"/>
        </w:rPr>
        <w:drawing>
          <wp:anchor distT="0" distB="0" distL="114300" distR="114300" simplePos="0" relativeHeight="251669504" behindDoc="1" locked="0" layoutInCell="1" allowOverlap="1">
            <wp:simplePos x="0" y="0"/>
            <wp:positionH relativeFrom="column">
              <wp:posOffset>-102870</wp:posOffset>
            </wp:positionH>
            <wp:positionV relativeFrom="paragraph">
              <wp:posOffset>116840</wp:posOffset>
            </wp:positionV>
            <wp:extent cx="2722245" cy="2898775"/>
            <wp:effectExtent l="12700" t="12700" r="27305" b="22225"/>
            <wp:wrapNone/>
            <wp:docPr id="39" name="图片 39" descr="226f7642287e8db314d4938b8269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26f7642287e8db314d4938b826952f"/>
                    <pic:cNvPicPr>
                      <a:picLocks noChangeAspect="1"/>
                    </pic:cNvPicPr>
                  </pic:nvPicPr>
                  <pic:blipFill>
                    <a:blip r:embed="rId31"/>
                    <a:stretch>
                      <a:fillRect/>
                    </a:stretch>
                  </pic:blipFill>
                  <pic:spPr>
                    <a:xfrm>
                      <a:off x="0" y="0"/>
                      <a:ext cx="2722245" cy="2898775"/>
                    </a:xfrm>
                    <a:prstGeom prst="rect">
                      <a:avLst/>
                    </a:prstGeom>
                    <a:ln w="12700" cmpd="sng">
                      <a:solidFill>
                        <a:schemeClr val="tx1"/>
                      </a:solidFill>
                      <a:prstDash val="solid"/>
                    </a:ln>
                  </pic:spPr>
                </pic:pic>
              </a:graphicData>
            </a:graphic>
          </wp:anchor>
        </w:drawing>
      </w:r>
    </w:p>
    <w:p>
      <w:pPr>
        <w:pStyle w:val="2"/>
        <w:rPr>
          <w:rFonts w:hint="eastAsia"/>
          <w:color w:val="000000" w:themeColor="text1"/>
          <w:lang w:eastAsia="zh-CN"/>
          <w14:textFill>
            <w14:solidFill>
              <w14:schemeClr w14:val="tx1"/>
            </w14:solidFill>
          </w14:textFill>
        </w:rPr>
      </w:pPr>
    </w:p>
    <w:p>
      <w:pPr>
        <w:pStyle w:val="3"/>
        <w:rPr>
          <w:rFonts w:hint="eastAsia"/>
          <w:color w:val="000000" w:themeColor="text1"/>
          <w:lang w:eastAsia="zh-CN"/>
          <w14:textFill>
            <w14:solidFill>
              <w14:schemeClr w14:val="tx1"/>
            </w14:solidFill>
          </w14:textFill>
        </w:rPr>
      </w:pPr>
    </w:p>
    <w:p>
      <w:pPr>
        <w:pStyle w:val="3"/>
        <w:rPr>
          <w:rFonts w:hint="eastAsia"/>
          <w:color w:val="000000" w:themeColor="text1"/>
          <w:lang w:eastAsia="zh-CN"/>
          <w14:textFill>
            <w14:solidFill>
              <w14:schemeClr w14:val="tx1"/>
            </w14:solidFill>
          </w14:textFill>
        </w:rPr>
      </w:pPr>
    </w:p>
    <w:p>
      <w:pPr>
        <w:pStyle w:val="3"/>
        <w:rPr>
          <w:rFonts w:hint="eastAsia"/>
          <w:color w:val="000000" w:themeColor="text1"/>
          <w:lang w:eastAsia="zh-CN"/>
          <w14:textFill>
            <w14:solidFill>
              <w14:schemeClr w14:val="tx1"/>
            </w14:solidFill>
          </w14:textFill>
        </w:rPr>
      </w:pPr>
    </w:p>
    <w:p>
      <w:pPr>
        <w:pStyle w:val="3"/>
        <w:rPr>
          <w:rFonts w:hint="eastAsia"/>
          <w:color w:val="000000" w:themeColor="text1"/>
          <w:lang w:eastAsia="zh-CN"/>
          <w14:textFill>
            <w14:solidFill>
              <w14:schemeClr w14:val="tx1"/>
            </w14:solidFill>
          </w14:textFill>
        </w:rPr>
      </w:pPr>
    </w:p>
    <w:p>
      <w:pPr>
        <w:pStyle w:val="3"/>
        <w:rPr>
          <w:rFonts w:hint="eastAsia"/>
          <w:color w:val="000000" w:themeColor="text1"/>
          <w:lang w:eastAsia="zh-CN"/>
          <w14:textFill>
            <w14:solidFill>
              <w14:schemeClr w14:val="tx1"/>
            </w14:solidFill>
          </w14:textFill>
        </w:rPr>
      </w:pPr>
    </w:p>
    <w:p>
      <w:pPr>
        <w:pStyle w:val="2"/>
        <w:rPr>
          <w:rFonts w:hint="eastAsia"/>
          <w:color w:val="000000" w:themeColor="text1"/>
          <w:lang w:eastAsia="zh-CN"/>
          <w14:textFill>
            <w14:solidFill>
              <w14:schemeClr w14:val="tx1"/>
            </w14:solidFill>
          </w14:textFill>
        </w:rPr>
      </w:pPr>
    </w:p>
    <w:p>
      <w:pPr>
        <w:pStyle w:val="3"/>
        <w:rPr>
          <w:rFonts w:hint="eastAsia"/>
          <w:lang w:eastAsia="zh-CN"/>
        </w:rPr>
      </w:pPr>
      <w:r>
        <w:rPr>
          <w:color w:val="000000" w:themeColor="text1"/>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3230880</wp:posOffset>
                </wp:positionH>
                <wp:positionV relativeFrom="paragraph">
                  <wp:posOffset>172720</wp:posOffset>
                </wp:positionV>
                <wp:extent cx="1601470" cy="37274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布袋除尘器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4pt;margin-top:13.6pt;height:29.35pt;width:126.1pt;z-index:251672576;mso-width-relative:page;mso-height-relative:page;" filled="f" stroked="f" coordsize="21600,21600" o:gfxdata="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UNW4naAAAACQEAAA8AAAAAAAAAAQAgAAAAIgAAAGRy&#10;cy9kb3ducmV2LnhtbFBLAQIUABQAAAAIAIdO4kDrLukyPAIAAGgEAAAOAAAAAAAAAAEAIAAAACkB&#10;AABkcnMvZTJvRG9jLnhtbFBLBQYAAAAABgAGAFkBAADXBQ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布袋除尘器</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3230880</wp:posOffset>
                </wp:positionH>
                <wp:positionV relativeFrom="paragraph">
                  <wp:posOffset>172720</wp:posOffset>
                </wp:positionV>
                <wp:extent cx="1601470" cy="3727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布袋除尘器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4pt;margin-top:13.6pt;height:29.35pt;width:126.1pt;z-index:251662336;mso-width-relative:page;mso-height-relative:page;" filled="f" stroked="f" coordsize="21600,21600" o:gfxdata="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UNW4naAAAACQEAAA8AAAAAAAAAAQAgAAAAIgAAAGRy&#10;cy9kb3ducmV2LnhtbFBLAQIUABQAAAAIAIdO4kDh/nMdPAIAAGgEAAAOAAAAAAAAAAEAIAAAACkB&#10;AABkcnMvZTJvRG9jLnhtbFBLBQYAAAAABgAGAFkBAADXBQ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布袋除尘器</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485140</wp:posOffset>
                </wp:positionH>
                <wp:positionV relativeFrom="paragraph">
                  <wp:posOffset>217170</wp:posOffset>
                </wp:positionV>
                <wp:extent cx="1601470" cy="37274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传料带密闭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pt;margin-top:17.1pt;height:29.35pt;width:126.1pt;z-index:251670528;mso-width-relative:page;mso-height-relative:page;" filled="f" stroked="f" coordsize="21600,21600" o:gfxdata="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tJIjNoAAAAIAQAADwAAAAAAAAABACAAAAAiAAAAZHJz&#10;L2Rvd25yZXYueG1sUEsBAhQAFAAAAAgAh07iQBc7/r87AgAAaAQAAA4AAAAAAAAAAQAgAAAAKQEA&#10;AGRycy9lMm9Eb2MueG1sUEsFBgAAAAAGAAYAWQEAANYFA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传料带密闭</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485140</wp:posOffset>
                </wp:positionH>
                <wp:positionV relativeFrom="paragraph">
                  <wp:posOffset>217170</wp:posOffset>
                </wp:positionV>
                <wp:extent cx="1601470" cy="37274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传料带密闭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pt;margin-top:17.1pt;height:29.35pt;width:126.1pt;z-index:251665408;mso-width-relative:page;mso-height-relative:page;" filled="f" stroked="f" coordsize="21600,21600" o:gfxdata="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rSSIzaAAAACAEAAA8AAAAAAAAAAQAgAAAAIgAAAGRy&#10;cy9kb3ducmV2LnhtbFBLAQIUABQAAAAIAIdO4kB7KR3NPAIAAGgEAAAOAAAAAAAAAAEAIAAAACkB&#10;AABkcnMvZTJvRG9jLnhtbFBLBQYAAAAABgAGAFkBAADXBQ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传料带密闭</w:t>
                      </w:r>
                    </w:p>
                  </w:txbxContent>
                </v:textbox>
              </v:shape>
            </w:pict>
          </mc:Fallback>
        </mc:AlternateContent>
      </w:r>
    </w:p>
    <w:p>
      <w:pPr>
        <w:spacing w:line="460" w:lineRule="exact"/>
        <w:ind w:firstLine="480" w:firstLineChars="200"/>
        <w:rPr>
          <w:rFonts w:hint="eastAsia" w:ascii="宋体" w:hAnsi="宋体" w:eastAsia="宋体" w:cs="宋体"/>
        </w:rPr>
      </w:pPr>
    </w:p>
    <w:p>
      <w:pPr>
        <w:spacing w:line="460" w:lineRule="exact"/>
        <w:ind w:firstLine="480" w:firstLineChars="200"/>
        <w:rPr>
          <w:rFonts w:hint="eastAsia" w:ascii="宋体" w:hAnsi="宋体" w:eastAsia="宋体" w:cs="宋体"/>
        </w:rPr>
      </w:pPr>
    </w:p>
    <w:p>
      <w:pPr>
        <w:pStyle w:val="3"/>
        <w:rPr>
          <w:rFonts w:hint="eastAsia"/>
        </w:rPr>
      </w:pPr>
      <w:r>
        <w:rPr>
          <w:rFonts w:hint="eastAsia" w:ascii="宋体" w:hAnsi="宋体" w:eastAsia="宋体" w:cs="宋体"/>
          <w:lang w:eastAsia="zh-CN"/>
        </w:rPr>
        <w:drawing>
          <wp:anchor distT="0" distB="0" distL="114300" distR="114300" simplePos="0" relativeHeight="251669504" behindDoc="1" locked="0" layoutInCell="1" allowOverlap="1">
            <wp:simplePos x="0" y="0"/>
            <wp:positionH relativeFrom="column">
              <wp:posOffset>2147570</wp:posOffset>
            </wp:positionH>
            <wp:positionV relativeFrom="paragraph">
              <wp:posOffset>797560</wp:posOffset>
            </wp:positionV>
            <wp:extent cx="3996055" cy="2693670"/>
            <wp:effectExtent l="12700" t="12700" r="17780" b="29845"/>
            <wp:wrapNone/>
            <wp:docPr id="42" name="图片 42" descr="4d3ce7d5ca2377a4445a84badf3d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d3ce7d5ca2377a4445a84badf3d256"/>
                    <pic:cNvPicPr>
                      <a:picLocks noChangeAspect="1"/>
                    </pic:cNvPicPr>
                  </pic:nvPicPr>
                  <pic:blipFill>
                    <a:blip r:embed="rId32"/>
                    <a:stretch>
                      <a:fillRect/>
                    </a:stretch>
                  </pic:blipFill>
                  <pic:spPr>
                    <a:xfrm rot="5400000">
                      <a:off x="0" y="0"/>
                      <a:ext cx="3996055" cy="2693670"/>
                    </a:xfrm>
                    <a:prstGeom prst="rect">
                      <a:avLst/>
                    </a:prstGeom>
                    <a:ln w="12700" cmpd="sng">
                      <a:solidFill>
                        <a:schemeClr val="tx1"/>
                      </a:solidFill>
                      <a:prstDash val="solid"/>
                    </a:ln>
                  </pic:spPr>
                </pic:pic>
              </a:graphicData>
            </a:graphic>
          </wp:anchor>
        </w:drawing>
      </w:r>
      <w:r>
        <w:rPr>
          <w:rFonts w:hint="eastAsia" w:ascii="宋体" w:hAnsi="宋体" w:eastAsia="宋体" w:cs="宋体"/>
          <w:lang w:eastAsia="zh-CN"/>
        </w:rPr>
        <w:drawing>
          <wp:anchor distT="0" distB="0" distL="114300" distR="114300" simplePos="0" relativeHeight="251669504" behindDoc="1" locked="0" layoutInCell="1" allowOverlap="1">
            <wp:simplePos x="0" y="0"/>
            <wp:positionH relativeFrom="column">
              <wp:posOffset>-258445</wp:posOffset>
            </wp:positionH>
            <wp:positionV relativeFrom="paragraph">
              <wp:posOffset>140335</wp:posOffset>
            </wp:positionV>
            <wp:extent cx="2997200" cy="3996690"/>
            <wp:effectExtent l="12700" t="12700" r="19050" b="29210"/>
            <wp:wrapNone/>
            <wp:docPr id="41" name="图片 41" descr="c8e0878005694aed3f4617925c5b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8e0878005694aed3f4617925c5b467"/>
                    <pic:cNvPicPr>
                      <a:picLocks noChangeAspect="1"/>
                    </pic:cNvPicPr>
                  </pic:nvPicPr>
                  <pic:blipFill>
                    <a:blip r:embed="rId33"/>
                    <a:stretch>
                      <a:fillRect/>
                    </a:stretch>
                  </pic:blipFill>
                  <pic:spPr>
                    <a:xfrm>
                      <a:off x="0" y="0"/>
                      <a:ext cx="2997200" cy="3996690"/>
                    </a:xfrm>
                    <a:prstGeom prst="rect">
                      <a:avLst/>
                    </a:prstGeom>
                    <a:ln w="12700" cmpd="sng">
                      <a:solidFill>
                        <a:schemeClr val="tx1"/>
                      </a:solidFill>
                      <a:prstDash val="solid"/>
                    </a:ln>
                  </pic:spPr>
                </pic:pic>
              </a:graphicData>
            </a:graphic>
          </wp:anchor>
        </w:drawing>
      </w:r>
    </w:p>
    <w:p>
      <w:pPr>
        <w:pStyle w:val="2"/>
        <w:rPr>
          <w:rFonts w:hint="eastAsia"/>
        </w:rPr>
      </w:pPr>
    </w:p>
    <w:p>
      <w:pPr>
        <w:spacing w:line="460" w:lineRule="exact"/>
        <w:ind w:firstLine="480" w:firstLineChars="200"/>
        <w:rPr>
          <w:rFonts w:hint="eastAsia" w:ascii="宋体" w:hAnsi="宋体" w:eastAsia="宋体" w:cs="宋体"/>
          <w:lang w:eastAsia="zh-CN"/>
        </w:rPr>
      </w:pPr>
    </w:p>
    <w:p>
      <w:pPr>
        <w:spacing w:line="460" w:lineRule="exact"/>
        <w:ind w:firstLine="480" w:firstLineChars="200"/>
        <w:rPr>
          <w:rFonts w:hint="eastAsia" w:ascii="宋体" w:hAnsi="宋体" w:eastAsia="宋体" w:cs="宋体"/>
        </w:rPr>
      </w:pPr>
    </w:p>
    <w:p>
      <w:pPr>
        <w:spacing w:line="460" w:lineRule="exact"/>
        <w:ind w:firstLine="480" w:firstLineChars="200"/>
        <w:rPr>
          <w:rFonts w:hint="eastAsia" w:ascii="宋体" w:hAnsi="宋体" w:eastAsia="宋体" w:cs="宋体"/>
        </w:rPr>
      </w:pPr>
    </w:p>
    <w:p>
      <w:pPr>
        <w:spacing w:line="460" w:lineRule="exact"/>
        <w:ind w:firstLine="480" w:firstLineChars="200"/>
        <w:rPr>
          <w:rFonts w:hint="eastAsia" w:ascii="宋体" w:hAnsi="宋体" w:eastAsia="宋体" w:cs="宋体"/>
        </w:rPr>
      </w:pPr>
    </w:p>
    <w:p>
      <w:pPr>
        <w:spacing w:line="460" w:lineRule="exact"/>
        <w:ind w:firstLine="480" w:firstLineChars="200"/>
        <w:rPr>
          <w:rFonts w:hint="eastAsia" w:ascii="宋体" w:hAnsi="宋体" w:eastAsia="宋体" w:cs="宋体"/>
          <w:lang w:eastAsia="zh-CN"/>
        </w:rPr>
      </w:pPr>
    </w:p>
    <w:p>
      <w:pPr>
        <w:pStyle w:val="2"/>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r>
        <w:rPr>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3411220</wp:posOffset>
                </wp:positionH>
                <wp:positionV relativeFrom="paragraph">
                  <wp:posOffset>147955</wp:posOffset>
                </wp:positionV>
                <wp:extent cx="1601470" cy="37274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布袋除尘器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6pt;margin-top:11.65pt;height:29.35pt;width:126.1pt;z-index:251673600;mso-width-relative:page;mso-height-relative:page;" filled="f" stroked="f" coordsize="21600,21600" o:gfxdata="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Gv/CA2wAAAAkBAAAPAAAAAAAAAAEAIAAAACIAAABk&#10;cnMvZG93bnJldi54bWxQSwECFAAUAAAACACHTuJAFaRidDwCAABoBAAADgAAAAAAAAABACAAAAAq&#10;AQAAZHJzL2Uyb0RvYy54bWxQSwUGAAAAAAYABgBZAQAA2AU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布袋除尘器</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344170</wp:posOffset>
                </wp:positionH>
                <wp:positionV relativeFrom="paragraph">
                  <wp:posOffset>169545</wp:posOffset>
                </wp:positionV>
                <wp:extent cx="1601470" cy="37274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60147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搅拌除尘器排放筒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pt;margin-top:13.35pt;height:29.35pt;width:126.1pt;z-index:251671552;mso-width-relative:page;mso-height-relative:page;" filled="f" stroked="f" coordsize="21600,21600" o:gfxdata="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&#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is/rPaAAAACAEAAA8AAAAAAAAAAQAgAAAAIgAAAGRy&#10;cy9kb3ducmV2LnhtbFBLAQIUABQAAAAIAIdO4kB+Vb+5PAIAAGgEAAAOAAAAAAAAAAEAIAAAACkB&#10;AABkcnMvZTJvRG9jLnhtbFBLBQYAAAAABgAGAFkBAADXBQ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搅拌除尘器排放筒</w:t>
                      </w:r>
                    </w:p>
                  </w:txbxContent>
                </v:textbox>
              </v:shape>
            </w:pict>
          </mc:Fallback>
        </mc:AlternateContent>
      </w:r>
    </w:p>
    <w:p>
      <w:pPr>
        <w:spacing w:line="460" w:lineRule="exact"/>
        <w:ind w:firstLine="480" w:firstLineChars="200"/>
        <w:rPr>
          <w:rFonts w:ascii="Times New Roman"/>
          <w:color w:val="000000" w:themeColor="text1"/>
          <w:sz w:val="24"/>
          <w14:textFill>
            <w14:solidFill>
              <w14:schemeClr w14:val="tx1"/>
            </w14:solidFill>
          </w14:textFill>
        </w:rPr>
      </w:pPr>
      <w:r>
        <w:rPr>
          <w:rFonts w:hint="eastAsia" w:ascii="宋体" w:hAnsi="宋体" w:eastAsia="宋体" w:cs="宋体"/>
        </w:rPr>
        <w:t>本项目共设置</w:t>
      </w:r>
      <w:r>
        <w:rPr>
          <w:rFonts w:hint="eastAsia" w:ascii="宋体" w:hAnsi="宋体" w:cs="宋体"/>
          <w:lang w:val="en-US" w:eastAsia="zh-CN"/>
        </w:rPr>
        <w:t>3</w:t>
      </w:r>
      <w:r>
        <w:rPr>
          <w:rFonts w:hint="eastAsia" w:ascii="宋体" w:hAnsi="宋体" w:eastAsia="宋体" w:cs="宋体"/>
        </w:rPr>
        <w:t>台搅拌机，</w:t>
      </w:r>
      <w:r>
        <w:rPr>
          <w:color w:val="000000" w:themeColor="text1"/>
          <w14:textFill>
            <w14:solidFill>
              <w14:schemeClr w14:val="tx1"/>
            </w14:solidFill>
          </w14:textFill>
        </w:rPr>
        <w:t>搅拌粉尘经脉冲式布袋除尘器处理后</w:t>
      </w:r>
      <w:r>
        <w:rPr>
          <w:rFonts w:hint="eastAsia"/>
          <w:color w:val="000000" w:themeColor="text1"/>
          <w:lang w:val="en-US" w:eastAsia="zh-CN"/>
          <w14:textFill>
            <w14:solidFill>
              <w14:schemeClr w14:val="tx1"/>
            </w14:solidFill>
          </w14:textFill>
        </w:rPr>
        <w:t>于15m排气筒</w:t>
      </w:r>
      <w:r>
        <w:rPr>
          <w:color w:val="000000" w:themeColor="text1"/>
          <w14:textFill>
            <w14:solidFill>
              <w14:schemeClr w14:val="tx1"/>
            </w14:solidFill>
          </w14:textFill>
        </w:rPr>
        <w:t>外排</w:t>
      </w:r>
      <w:r>
        <w:rPr>
          <w:rFonts w:hint="eastAsia"/>
          <w:color w:val="000000" w:themeColor="text1"/>
          <w:lang w:eastAsia="zh-CN"/>
          <w14:textFill>
            <w14:solidFill>
              <w14:schemeClr w14:val="tx1"/>
            </w14:solidFill>
          </w14:textFill>
        </w:rPr>
        <w:t>。</w:t>
      </w:r>
      <w:r>
        <w:rPr>
          <w:rFonts w:hint="eastAsia" w:ascii="Times New Roman"/>
          <w:color w:val="000000" w:themeColor="text1"/>
          <w:sz w:val="24"/>
          <w14:textFill>
            <w14:solidFill>
              <w14:schemeClr w14:val="tx1"/>
            </w14:solidFill>
          </w14:textFill>
        </w:rPr>
        <w:t>袋式除尘器的基本工作原理：含尘气体进入挂有一定数量滤袋的袋室后，被滤袋纤维过滤。随着阻留的粉尘不断增加，一部分粉尘嵌入滤料内部；一部分覆盖在滤袋表面形成一层粉尘层。此时，含尘气体的过滤主要依靠粉尘层进行。其除尘机理为含尘气体通过粉尘层与滤料时产生的筛分、惯性、粘附、扩散与静电等作用，使粉尘得到捕集。当粉尘层加厚，压力损失达到一定程度时，需要进行清灰。清灰后压力降低，但仍有一部分粉尘残留在滤袋上，在下一个过滤周期开始时，起到良好的捕尘作用。</w:t>
      </w:r>
    </w:p>
    <w:p>
      <w:pPr>
        <w:spacing w:line="480" w:lineRule="exact"/>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袋式除尘器的主要特点是：①除尘效率高，一般在90%以上，对亚微米粒径的细尘也具有较高净化效率；②处理风量范围广，小的仅每分钟数立方米，大的可达每分钟数万立方米，既可用于尘源的通风除尘，改善作业场所的空气质量，也可用于工业炉窑的烟气除尘，减少大气污染物的排放；③结构比较简单，维护操作方便；④在保证同样高的除尘效率前提下，造价低于电除尘器；⑤对粉尘的特征不敏感，不受粉尘比电阻的影响。</w:t>
      </w:r>
    </w:p>
    <w:p>
      <w:pPr>
        <w:spacing w:line="480" w:lineRule="exact"/>
        <w:ind w:firstLine="504" w:firstLineChars="200"/>
        <w:rPr>
          <w:rFonts w:hint="eastAsia" w:ascii="宋体" w:hAnsi="宋体" w:eastAsia="宋体" w:cs="宋体"/>
        </w:rPr>
      </w:pPr>
      <w:r>
        <w:rPr>
          <w:rFonts w:hint="eastAsia" w:ascii="宋体" w:hAnsi="宋体" w:eastAsia="宋体" w:cs="宋体"/>
          <w:spacing w:val="6"/>
        </w:rPr>
        <w:t>由于冬季公司处于停产状态，因此废气无法满足验收监测条件，待项目后期正常运行后，对厂区废气进行补充监测。</w:t>
      </w:r>
    </w:p>
    <w:p>
      <w:pPr>
        <w:pStyle w:val="6"/>
        <w:rPr>
          <w:rFonts w:hint="eastAsia" w:ascii="宋体" w:hAnsi="宋体" w:eastAsia="宋体" w:cs="宋体"/>
        </w:rPr>
      </w:pPr>
      <w:bookmarkStart w:id="35" w:name="_Toc8999880"/>
      <w:r>
        <w:rPr>
          <w:rFonts w:hint="eastAsia" w:ascii="宋体" w:hAnsi="宋体" w:eastAsia="宋体" w:cs="宋体"/>
        </w:rPr>
        <w:t>3.2.2废水污染源及治理措施</w:t>
      </w:r>
      <w:bookmarkEnd w:id="35"/>
    </w:p>
    <w:bookmarkEnd w:id="33"/>
    <w:p>
      <w:pPr>
        <w:ind w:firstLine="480"/>
        <w:rPr>
          <w:rFonts w:hint="eastAsia" w:ascii="宋体" w:hAnsi="宋体" w:eastAsia="宋体" w:cs="宋体"/>
        </w:rPr>
      </w:pPr>
      <w:r>
        <w:rPr>
          <w:rFonts w:hint="eastAsia" w:ascii="宋体" w:hAnsi="宋体" w:eastAsia="宋体" w:cs="宋体"/>
        </w:rPr>
        <w:t>本技改项目无新增废水产生。厂区现有废水主要为生活污水及清洗废水。生活污水主要为职工盥洗废水，盥洗废水用于厂区泼洒抑尘，职工使用厂区防渗旱厕，旱厕定期清掏。设备清洗废水经沉淀池沉淀后循环利用不外排。</w:t>
      </w:r>
    </w:p>
    <w:p>
      <w:pPr>
        <w:ind w:firstLine="480"/>
        <w:rPr>
          <w:rFonts w:hint="eastAsia" w:ascii="宋体" w:hAnsi="宋体" w:eastAsia="宋体" w:cs="宋体"/>
          <w:bCs/>
        </w:rPr>
      </w:pPr>
      <w:r>
        <w:rPr>
          <w:rFonts w:hint="eastAsia" w:ascii="宋体" w:hAnsi="宋体" w:eastAsia="宋体" w:cs="宋体"/>
        </w:rPr>
        <w:t>项目厂区沉淀池照片如下。</w:t>
      </w:r>
    </w:p>
    <w:p>
      <w:pPr>
        <w:spacing w:line="240" w:lineRule="auto"/>
        <w:ind w:firstLine="0" w:firstLineChars="0"/>
        <w:jc w:val="center"/>
        <w:rPr>
          <w:rFonts w:hint="eastAsia" w:ascii="宋体" w:hAnsi="宋体" w:eastAsia="宋体" w:cs="宋体"/>
          <w:szCs w:val="24"/>
          <w:lang w:eastAsia="zh-CN"/>
        </w:rPr>
      </w:pPr>
      <w:r>
        <w:rPr>
          <w:rFonts w:hint="eastAsia" w:ascii="宋体" w:hAnsi="宋体" w:eastAsia="宋体" w:cs="宋体"/>
          <w:szCs w:val="24"/>
          <w:lang w:eastAsia="zh-CN"/>
        </w:rPr>
        <w:drawing>
          <wp:inline distT="0" distB="0" distL="114300" distR="114300">
            <wp:extent cx="4469765" cy="1907540"/>
            <wp:effectExtent l="12700" t="12700" r="13335" b="22860"/>
            <wp:docPr id="47" name="图片 47" descr="b1a1b64f9f754e726c1082b75eb8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1a1b64f9f754e726c1082b75eb8b75"/>
                    <pic:cNvPicPr>
                      <a:picLocks noChangeAspect="1"/>
                    </pic:cNvPicPr>
                  </pic:nvPicPr>
                  <pic:blipFill>
                    <a:blip r:embed="rId34"/>
                    <a:srcRect t="28682" b="35876"/>
                    <a:stretch>
                      <a:fillRect/>
                    </a:stretch>
                  </pic:blipFill>
                  <pic:spPr>
                    <a:xfrm>
                      <a:off x="0" y="0"/>
                      <a:ext cx="4469765" cy="1907540"/>
                    </a:xfrm>
                    <a:prstGeom prst="rect">
                      <a:avLst/>
                    </a:prstGeom>
                    <a:ln w="12700" cmpd="sng">
                      <a:solidFill>
                        <a:schemeClr val="tx1"/>
                      </a:solidFill>
                      <a:prstDash val="solid"/>
                    </a:ln>
                  </pic:spPr>
                </pic:pic>
              </a:graphicData>
            </a:graphic>
          </wp:inline>
        </w:drawing>
      </w:r>
    </w:p>
    <w:p>
      <w:pPr>
        <w:pStyle w:val="110"/>
        <w:rPr>
          <w:rFonts w:hint="eastAsia" w:ascii="宋体" w:hAnsi="宋体" w:eastAsia="宋体" w:cs="宋体"/>
          <w:bCs/>
          <w:color w:val="000000"/>
        </w:rPr>
      </w:pPr>
      <w:r>
        <w:rPr>
          <w:rFonts w:hint="eastAsia" w:ascii="宋体" w:hAnsi="宋体" w:eastAsia="宋体" w:cs="宋体"/>
        </w:rPr>
        <w:t>图3-3  项目沉淀池</w:t>
      </w:r>
      <w:r>
        <w:rPr>
          <w:rFonts w:hint="eastAsia" w:ascii="宋体" w:hAnsi="宋体" w:cs="宋体"/>
          <w:lang w:val="en-US" w:eastAsia="zh-CN"/>
        </w:rPr>
        <w:t>现场</w:t>
      </w:r>
      <w:r>
        <w:rPr>
          <w:rFonts w:hint="eastAsia" w:ascii="宋体" w:hAnsi="宋体" w:eastAsia="宋体" w:cs="宋体"/>
        </w:rPr>
        <w:t>照片</w:t>
      </w:r>
    </w:p>
    <w:p>
      <w:pPr>
        <w:pStyle w:val="6"/>
        <w:rPr>
          <w:rFonts w:hint="eastAsia" w:ascii="宋体" w:hAnsi="宋体" w:eastAsia="宋体" w:cs="宋体"/>
        </w:rPr>
      </w:pPr>
      <w:bookmarkStart w:id="36" w:name="_Toc30083320"/>
      <w:r>
        <w:rPr>
          <w:rFonts w:hint="eastAsia" w:ascii="宋体" w:hAnsi="宋体" w:eastAsia="宋体" w:cs="宋体"/>
        </w:rPr>
        <w:t>3.2.3噪声</w:t>
      </w:r>
      <w:bookmarkEnd w:id="36"/>
    </w:p>
    <w:p>
      <w:pPr>
        <w:ind w:firstLine="480"/>
        <w:rPr>
          <w:rFonts w:hint="eastAsia" w:ascii="宋体" w:hAnsi="宋体" w:eastAsia="宋体" w:cs="宋体"/>
        </w:rPr>
      </w:pPr>
      <w:r>
        <w:rPr>
          <w:rFonts w:hint="eastAsia" w:ascii="宋体" w:hAnsi="宋体" w:eastAsia="宋体" w:cs="宋体"/>
        </w:rPr>
        <w:t>本项目营运期噪声主要为搅拌主机、铲车、皮带输送机等设备运行产生的噪声，采取基础减震后噪声源强为70~90dB（A）之间。项目在满足工艺的前提下，尽可能选用功率小、噪声低的设备，采用厂房隔声等措施，合理布置设备位置。采取以上措施后可有效减轻噪声对周围环境的影响。</w:t>
      </w:r>
    </w:p>
    <w:p>
      <w:pPr>
        <w:pStyle w:val="6"/>
        <w:rPr>
          <w:rFonts w:hint="eastAsia" w:ascii="宋体" w:hAnsi="宋体" w:eastAsia="宋体" w:cs="宋体"/>
        </w:rPr>
      </w:pPr>
      <w:bookmarkStart w:id="37" w:name="_Toc30083321"/>
      <w:r>
        <w:rPr>
          <w:rFonts w:hint="eastAsia" w:ascii="宋体" w:hAnsi="宋体" w:eastAsia="宋体" w:cs="宋体"/>
        </w:rPr>
        <w:t>3.2.4固体废物</w:t>
      </w:r>
      <w:bookmarkEnd w:id="37"/>
    </w:p>
    <w:p>
      <w:pPr>
        <w:ind w:firstLine="480"/>
        <w:rPr>
          <w:rFonts w:hint="eastAsia" w:ascii="宋体" w:hAnsi="宋体" w:eastAsia="宋体" w:cs="宋体"/>
        </w:rPr>
      </w:pPr>
      <w:r>
        <w:rPr>
          <w:rFonts w:hint="eastAsia" w:ascii="宋体" w:hAnsi="宋体" w:eastAsia="宋体" w:cs="宋体"/>
        </w:rPr>
        <w:t>本技改项目现有工程固体废物主要为除尘器收集粉尘、沉淀池泥渣、废混凝土试块及职工生活垃圾。</w:t>
      </w:r>
    </w:p>
    <w:p>
      <w:pPr>
        <w:ind w:firstLine="480"/>
        <w:rPr>
          <w:rFonts w:hint="eastAsia" w:ascii="宋体" w:hAnsi="宋体" w:eastAsia="宋体" w:cs="宋体"/>
        </w:rPr>
      </w:pPr>
      <w:r>
        <w:rPr>
          <w:rFonts w:hint="eastAsia" w:ascii="宋体" w:hAnsi="宋体" w:eastAsia="宋体" w:cs="宋体"/>
        </w:rPr>
        <w:t>除尘器收集的粉尘回用于生产；沉淀池沉淀砂石经收集后回用于生产；</w:t>
      </w:r>
      <w:r>
        <w:rPr>
          <w:rFonts w:hint="eastAsia" w:ascii="宋体" w:hAnsi="宋体" w:eastAsia="宋体" w:cs="宋体"/>
          <w:lang w:val="en-US" w:eastAsia="zh-CN"/>
        </w:rPr>
        <w:t>试验废块经手动破碎，集中收集后回用于生产；沉淀池泥沙定期清掏，回用于生产</w:t>
      </w:r>
      <w:r>
        <w:rPr>
          <w:rFonts w:hint="eastAsia" w:ascii="宋体" w:hAnsi="宋体" w:eastAsia="宋体" w:cs="宋体"/>
        </w:rPr>
        <w:t>；生活垃圾由环卫部门清运处理。</w:t>
      </w:r>
    </w:p>
    <w:p>
      <w:pPr>
        <w:ind w:firstLine="480"/>
        <w:rPr>
          <w:rFonts w:hint="eastAsia" w:ascii="宋体" w:hAnsi="宋体" w:eastAsia="宋体" w:cs="宋体"/>
        </w:rPr>
      </w:pPr>
      <w:r>
        <w:rPr>
          <w:rFonts w:hint="eastAsia" w:ascii="宋体" w:hAnsi="宋体" w:eastAsia="宋体" w:cs="宋体"/>
        </w:rPr>
        <w:t>综上，厂区产生的所有固废均得到有效处理或处置，</w:t>
      </w:r>
      <w:r>
        <w:rPr>
          <w:rFonts w:hint="eastAsia" w:ascii="宋体" w:hAnsi="宋体" w:cs="宋体"/>
          <w:lang w:val="en-US" w:eastAsia="zh-CN"/>
        </w:rPr>
        <w:t>企业生产无危废产生，</w:t>
      </w:r>
      <w:r>
        <w:rPr>
          <w:rFonts w:hint="eastAsia" w:ascii="宋体" w:hAnsi="宋体" w:eastAsia="宋体" w:cs="宋体"/>
        </w:rPr>
        <w:t>不会对周围环境产生影响。</w:t>
      </w:r>
    </w:p>
    <w:p>
      <w:pPr>
        <w:pStyle w:val="2"/>
        <w:rPr>
          <w:rFonts w:hint="eastAsia" w:ascii="宋体" w:hAnsi="宋体" w:eastAsia="宋体" w:cs="宋体"/>
        </w:rPr>
      </w:pPr>
      <w:r>
        <w:rPr>
          <w:rFonts w:hint="eastAsia" w:eastAsia="宋体"/>
          <w:lang w:eastAsia="zh-CN"/>
        </w:rPr>
        <w:drawing>
          <wp:anchor distT="0" distB="0" distL="114300" distR="114300" simplePos="0" relativeHeight="251674624" behindDoc="1" locked="0" layoutInCell="1" allowOverlap="1">
            <wp:simplePos x="0" y="0"/>
            <wp:positionH relativeFrom="column">
              <wp:posOffset>1029970</wp:posOffset>
            </wp:positionH>
            <wp:positionV relativeFrom="paragraph">
              <wp:posOffset>417830</wp:posOffset>
            </wp:positionV>
            <wp:extent cx="2866390" cy="2289810"/>
            <wp:effectExtent l="12700" t="12700" r="21590" b="16510"/>
            <wp:wrapNone/>
            <wp:docPr id="48" name="图片 48" descr="4b0ac2debb4b083d8334c510924a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b0ac2debb4b083d8334c510924adc9"/>
                    <pic:cNvPicPr>
                      <a:picLocks noChangeAspect="1"/>
                    </pic:cNvPicPr>
                  </pic:nvPicPr>
                  <pic:blipFill>
                    <a:blip r:embed="rId35"/>
                    <a:stretch>
                      <a:fillRect/>
                    </a:stretch>
                  </pic:blipFill>
                  <pic:spPr>
                    <a:xfrm rot="5400000">
                      <a:off x="0" y="0"/>
                      <a:ext cx="2866390" cy="2289810"/>
                    </a:xfrm>
                    <a:prstGeom prst="rect">
                      <a:avLst/>
                    </a:prstGeom>
                    <a:ln w="12700" cmpd="sng">
                      <a:solidFill>
                        <a:schemeClr val="tx1"/>
                      </a:solidFill>
                      <a:prstDash val="solid"/>
                    </a:ln>
                  </pic:spPr>
                </pic:pic>
              </a:graphicData>
            </a:graphic>
          </wp:anchor>
        </w:drawing>
      </w: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lang w:eastAsia="zh-CN"/>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r>
        <w:rPr>
          <w:color w:val="000000" w:themeColor="text1"/>
          <w:sz w:val="24"/>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1609725</wp:posOffset>
                </wp:positionH>
                <wp:positionV relativeFrom="paragraph">
                  <wp:posOffset>220345</wp:posOffset>
                </wp:positionV>
                <wp:extent cx="1738630" cy="37274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73863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生活垃圾收集设备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75pt;margin-top:17.35pt;height:29.35pt;width:136.9pt;z-index:251675648;mso-width-relative:page;mso-height-relative:page;" filled="f" stroked="f" coordsize="21600,21600" o:gfxdata="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C6TBI2AAAAAcBAAAPAAAAAAAAAAEAIAAAACIAAABkcnMv&#10;ZG93bnJldi54bWxQSwECFAAUAAAACACHTuJANneTHDwCAABoBAAADgAAAAAAAAABACAAAAAnAQAA&#10;ZHJzL2Uyb0RvYy54bWxQSwUGAAAAAAYABgBZAQAA1QU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生活垃圾收集设备</w:t>
                      </w:r>
                    </w:p>
                  </w:txbxContent>
                </v:textbox>
              </v:shape>
            </w:pict>
          </mc:Fallback>
        </mc:AlternateContent>
      </w:r>
    </w:p>
    <w:p>
      <w:pPr>
        <w:pStyle w:val="2"/>
        <w:rPr>
          <w:rFonts w:hint="eastAsia" w:eastAsia="宋体"/>
          <w:lang w:eastAsia="zh-CN"/>
        </w:rPr>
      </w:pPr>
    </w:p>
    <w:p>
      <w:pPr>
        <w:pStyle w:val="6"/>
        <w:rPr>
          <w:rFonts w:hint="eastAsia" w:ascii="宋体" w:hAnsi="宋体" w:eastAsia="宋体" w:cs="宋体"/>
          <w:lang w:val="en-US" w:eastAsia="zh-CN"/>
        </w:rPr>
      </w:pPr>
      <w:bookmarkStart w:id="38" w:name="_Toc30083322"/>
      <w:bookmarkStart w:id="39" w:name="_Toc30083329"/>
      <w:r>
        <w:rPr>
          <w:rFonts w:hint="eastAsia" w:ascii="宋体" w:hAnsi="宋体" w:eastAsia="宋体" w:cs="宋体"/>
          <w:lang w:val="en-US" w:eastAsia="zh-CN"/>
        </w:rPr>
        <w:t>3.2.4其他环境保护设施</w:t>
      </w:r>
      <w:bookmarkEnd w:id="38"/>
    </w:p>
    <w:p>
      <w:pPr>
        <w:ind w:firstLine="480"/>
        <w:rPr>
          <w:rFonts w:eastAsia="宋体"/>
          <w:color w:val="000000" w:themeColor="text1"/>
          <w14:textFill>
            <w14:solidFill>
              <w14:schemeClr w14:val="tx1"/>
            </w14:solidFill>
          </w14:textFill>
        </w:rPr>
      </w:pPr>
      <w:bookmarkStart w:id="40" w:name="_Toc30083323"/>
      <w:r>
        <w:rPr>
          <w:rFonts w:hint="eastAsia" w:eastAsia="宋体"/>
          <w:color w:val="000000" w:themeColor="text1"/>
          <w:lang w:val="en-US" w:eastAsia="zh-CN"/>
          <w14:textFill>
            <w14:solidFill>
              <w14:schemeClr w14:val="tx1"/>
            </w14:solidFill>
          </w14:textFill>
        </w:rPr>
        <w:t>（1）</w:t>
      </w:r>
      <w:r>
        <w:rPr>
          <w:rFonts w:eastAsia="宋体"/>
          <w:color w:val="000000" w:themeColor="text1"/>
          <w:lang w:val="en-US" w:eastAsia="zh-CN"/>
          <w14:textFill>
            <w14:solidFill>
              <w14:schemeClr w14:val="tx1"/>
            </w14:solidFill>
          </w14:textFill>
        </w:rPr>
        <w:t>环境风险防范设施</w:t>
      </w:r>
      <w:bookmarkEnd w:id="40"/>
    </w:p>
    <w:p>
      <w:pPr>
        <w:ind w:firstLine="480"/>
        <w:rPr>
          <w:color w:val="000000" w:themeColor="text1"/>
          <w14:textFill>
            <w14:solidFill>
              <w14:schemeClr w14:val="tx1"/>
            </w14:solidFill>
          </w14:textFill>
        </w:rPr>
      </w:pPr>
      <w:r>
        <w:rPr>
          <w:color w:val="000000" w:themeColor="text1"/>
          <w14:textFill>
            <w14:solidFill>
              <w14:schemeClr w14:val="tx1"/>
            </w14:solidFill>
          </w14:textFill>
        </w:rPr>
        <w:t>为防止项目建设对地下水、土壤可能造成的污染，建设单位已强化厂区内的防渗措施，具体措施如下：</w:t>
      </w:r>
    </w:p>
    <w:p>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源头控制：加强对生活污水的管理，完善了厂区原有设施的检修维护制度，安排专人对厂区环保设施及三废情况的管理。</w:t>
      </w:r>
    </w:p>
    <w:p>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防渗措施：厂区</w:t>
      </w:r>
      <w:r>
        <w:rPr>
          <w:rFonts w:hint="eastAsia"/>
          <w:color w:val="000000" w:themeColor="text1"/>
          <w:lang w:val="en-US" w:eastAsia="zh-CN"/>
          <w14:textFill>
            <w14:solidFill>
              <w14:schemeClr w14:val="tx1"/>
            </w14:solidFill>
          </w14:textFill>
        </w:rPr>
        <w:t>道路及混凝土搅拌站处</w:t>
      </w:r>
      <w:r>
        <w:rPr>
          <w:color w:val="000000" w:themeColor="text1"/>
          <w14:textFill>
            <w14:solidFill>
              <w14:schemeClr w14:val="tx1"/>
            </w14:solidFill>
          </w14:textFill>
        </w:rPr>
        <w:t>地面已进行了硬化处理。项目沉淀池按照一般防渗区进行建设，等效黏土防渗层Mb≥1.5m，渗透系数≤1.0×10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w:t>
      </w:r>
    </w:p>
    <w:p>
      <w:pPr>
        <w:ind w:firstLine="480"/>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bookmarkStart w:id="41" w:name="_Toc30083324"/>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w:t>
      </w:r>
      <w:r>
        <w:rPr>
          <w:rFonts w:eastAsia="宋体"/>
          <w:color w:val="000000" w:themeColor="text1"/>
          <w:lang w:val="en-US" w:eastAsia="zh-CN"/>
          <w14:textFill>
            <w14:solidFill>
              <w14:schemeClr w14:val="tx1"/>
            </w14:solidFill>
          </w14:textFill>
        </w:rPr>
        <w:t>规范化</w:t>
      </w:r>
      <w:r>
        <w:rPr>
          <w:rFonts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排污口、监测设施</w:t>
      </w:r>
      <w:bookmarkEnd w:id="41"/>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本项目废气排污口已按照规范化设置要求进行设置。</w:t>
      </w:r>
    </w:p>
    <w:p>
      <w:pPr>
        <w:rPr>
          <w:rFonts w:hint="eastAsia" w:ascii="宋体" w:hAnsi="宋体" w:eastAsia="宋体" w:cs="宋体"/>
        </w:rPr>
      </w:pPr>
      <w:r>
        <w:rPr>
          <w:rFonts w:hint="eastAsia" w:ascii="宋体" w:hAnsi="宋体" w:eastAsia="宋体" w:cs="宋体"/>
        </w:rPr>
        <w:br w:type="page"/>
      </w:r>
    </w:p>
    <w:p>
      <w:pPr>
        <w:pStyle w:val="4"/>
        <w:rPr>
          <w:rFonts w:hint="eastAsia" w:ascii="宋体" w:hAnsi="宋体" w:eastAsia="宋体" w:cs="宋体"/>
        </w:rPr>
      </w:pPr>
      <w:bookmarkStart w:id="42" w:name="_Toc809"/>
      <w:r>
        <w:rPr>
          <w:rFonts w:hint="eastAsia" w:ascii="宋体" w:hAnsi="宋体" w:eastAsia="宋体" w:cs="宋体"/>
        </w:rPr>
        <w:t>4、环评主要结论及环评批复要求</w:t>
      </w:r>
      <w:bookmarkEnd w:id="39"/>
      <w:bookmarkEnd w:id="42"/>
    </w:p>
    <w:p>
      <w:pPr>
        <w:pStyle w:val="5"/>
        <w:rPr>
          <w:rFonts w:hint="eastAsia" w:ascii="宋体" w:hAnsi="宋体" w:eastAsia="宋体" w:cs="宋体"/>
        </w:rPr>
      </w:pPr>
      <w:bookmarkStart w:id="43" w:name="_Toc9737"/>
      <w:bookmarkStart w:id="44" w:name="_Toc30083330"/>
      <w:r>
        <w:rPr>
          <w:rFonts w:hint="eastAsia" w:ascii="宋体" w:hAnsi="宋体" w:eastAsia="宋体" w:cs="宋体"/>
        </w:rPr>
        <w:t>4.1环境影响报告书（表）主要结论与建议</w:t>
      </w:r>
      <w:bookmarkEnd w:id="43"/>
      <w:bookmarkEnd w:id="44"/>
    </w:p>
    <w:p>
      <w:pPr>
        <w:ind w:firstLine="480"/>
        <w:rPr>
          <w:rFonts w:hint="eastAsia" w:ascii="宋体" w:hAnsi="宋体" w:eastAsia="宋体" w:cs="宋体"/>
        </w:rPr>
      </w:pPr>
      <w:r>
        <w:rPr>
          <w:rFonts w:hint="eastAsia" w:ascii="宋体" w:hAnsi="宋体" w:eastAsia="宋体" w:cs="宋体"/>
        </w:rPr>
        <w:t>（1）项目概况</w:t>
      </w:r>
    </w:p>
    <w:p>
      <w:pPr>
        <w:ind w:firstLine="480"/>
        <w:rPr>
          <w:rFonts w:hint="eastAsia" w:ascii="宋体" w:hAnsi="宋体" w:eastAsia="宋体" w:cs="宋体"/>
        </w:rPr>
      </w:pPr>
      <w:r>
        <w:rPr>
          <w:rFonts w:hint="eastAsia" w:ascii="宋体" w:hAnsi="宋体" w:eastAsia="宋体" w:cs="宋体"/>
        </w:rPr>
        <w:t>本项目为</w:t>
      </w:r>
      <w:r>
        <w:rPr>
          <w:rFonts w:hint="eastAsia" w:ascii="宋体" w:hAnsi="宋体" w:cs="宋体"/>
          <w:lang w:eastAsia="zh-CN"/>
        </w:rPr>
        <w:t>河北友联建筑材料股份有限公司环保设施改造提升项目</w:t>
      </w:r>
      <w:r>
        <w:rPr>
          <w:rFonts w:hint="eastAsia" w:ascii="宋体" w:hAnsi="宋体" w:eastAsia="宋体" w:cs="宋体"/>
        </w:rPr>
        <w:t>，主要建设内容为</w:t>
      </w:r>
      <w:r>
        <w:rPr>
          <w:rFonts w:hint="eastAsia" w:ascii="宋体" w:hAnsi="宋体" w:cs="宋体"/>
          <w:lang w:val="en-US" w:eastAsia="zh-CN"/>
        </w:rPr>
        <w:t>设置在线环保监测系统一套，更换洒水车，更换车辆喷淋设备一套，硬化道路和院面，更换除尘设施等</w:t>
      </w:r>
      <w:r>
        <w:rPr>
          <w:rFonts w:hint="eastAsia" w:ascii="宋体" w:hAnsi="宋体" w:eastAsia="宋体" w:cs="宋体"/>
        </w:rPr>
        <w:t>，项目建成后</w:t>
      </w:r>
      <w:r>
        <w:rPr>
          <w:rFonts w:hint="eastAsia" w:ascii="宋体" w:hAnsi="宋体" w:eastAsia="宋体" w:cs="宋体"/>
          <w:lang w:val="en-US" w:eastAsia="zh-CN"/>
        </w:rPr>
        <w:t>生产规模为</w:t>
      </w:r>
      <w:r>
        <w:rPr>
          <w:rFonts w:hint="eastAsia" w:ascii="宋体" w:hAnsi="宋体" w:cs="宋体"/>
          <w:lang w:val="en-US" w:eastAsia="zh-CN"/>
        </w:rPr>
        <w:t>年产商品混凝土6万立方米，年产预拌干粉砂浆35万吨</w:t>
      </w:r>
      <w:r>
        <w:rPr>
          <w:rFonts w:hint="eastAsia" w:ascii="宋体" w:hAnsi="宋体" w:eastAsia="宋体" w:cs="宋体"/>
          <w:lang w:val="en-US" w:eastAsia="zh-CN"/>
        </w:rPr>
        <w:t>。</w:t>
      </w:r>
    </w:p>
    <w:p>
      <w:pPr>
        <w:ind w:firstLine="480"/>
        <w:rPr>
          <w:rFonts w:hint="eastAsia" w:ascii="宋体" w:hAnsi="宋体" w:eastAsia="宋体" w:cs="宋体"/>
        </w:rPr>
      </w:pPr>
      <w:r>
        <w:rPr>
          <w:rFonts w:hint="eastAsia" w:ascii="宋体" w:hAnsi="宋体" w:eastAsia="宋体" w:cs="宋体"/>
        </w:rPr>
        <w:t>（2）</w:t>
      </w:r>
      <w:r>
        <w:rPr>
          <w:rFonts w:hint="eastAsia" w:ascii="宋体" w:hAnsi="宋体" w:eastAsia="宋体" w:cs="宋体"/>
          <w:bCs/>
        </w:rPr>
        <w:t>环境影响分析结论</w:t>
      </w:r>
    </w:p>
    <w:p>
      <w:pPr>
        <w:ind w:firstLine="480"/>
        <w:rPr>
          <w:rFonts w:hint="eastAsia" w:ascii="宋体" w:hAnsi="宋体" w:eastAsia="宋体" w:cs="宋体"/>
        </w:rPr>
      </w:pPr>
      <w:r>
        <w:rPr>
          <w:rFonts w:hint="eastAsia" w:ascii="宋体" w:hAnsi="宋体" w:eastAsia="宋体" w:cs="宋体"/>
        </w:rPr>
        <w:t>①废气</w:t>
      </w:r>
    </w:p>
    <w:p>
      <w:pPr>
        <w:ind w:firstLine="480"/>
        <w:rPr>
          <w:rFonts w:hint="eastAsia" w:ascii="宋体" w:hAnsi="宋体" w:eastAsia="宋体" w:cs="宋体"/>
          <w:bCs/>
        </w:rPr>
      </w:pPr>
      <w:r>
        <w:rPr>
          <w:rFonts w:hint="eastAsia" w:ascii="宋体" w:hAnsi="宋体" w:eastAsia="宋体" w:cs="宋体"/>
          <w:bCs/>
        </w:rPr>
        <w:t>项目筒仓呼吸粉尘经筒仓顶部除尘设施处理后</w:t>
      </w:r>
      <w:r>
        <w:rPr>
          <w:rFonts w:hint="eastAsia" w:ascii="宋体" w:hAnsi="宋体" w:cs="宋体"/>
          <w:bCs/>
          <w:lang w:eastAsia="zh-CN"/>
        </w:rPr>
        <w:t>通过15米高排放口高空排放</w:t>
      </w:r>
      <w:r>
        <w:rPr>
          <w:rFonts w:hint="eastAsia" w:ascii="宋体" w:hAnsi="宋体" w:eastAsia="宋体" w:cs="宋体"/>
          <w:bCs/>
        </w:rPr>
        <w:t>；搅拌楼搅拌粉尘经袋式除尘器处理后通过15米高排气筒高空排放；砂石料库采用封闭式库房，并配有喷淋设施洒水降尘；厂区地面硬化，采取定时清扫洒水措施降低厂区地面及道路运输过程中产生的扬尘。</w:t>
      </w:r>
    </w:p>
    <w:p>
      <w:pPr>
        <w:ind w:firstLine="480"/>
        <w:rPr>
          <w:rFonts w:hint="eastAsia" w:ascii="宋体" w:hAnsi="宋体" w:eastAsia="宋体" w:cs="宋体"/>
          <w:bCs/>
        </w:rPr>
      </w:pPr>
      <w:r>
        <w:rPr>
          <w:rFonts w:hint="eastAsia" w:ascii="宋体" w:hAnsi="宋体" w:eastAsia="宋体" w:cs="宋体"/>
          <w:bCs/>
        </w:rPr>
        <w:t>通过以上措施，项目有组织排放的颗粒物可满足《水泥工业大气污染物超低排放标准》（DB13/2167-2020）表1大气污染物最高允许排放浓度限值，厂界颗粒物排放浓度可满足《水泥工业大气污染物超低排放标准》（DB13/2167-2020）表2大气污染物无组织排放监控浓度限值。</w:t>
      </w:r>
    </w:p>
    <w:p>
      <w:pPr>
        <w:ind w:firstLine="480"/>
        <w:rPr>
          <w:rFonts w:hint="eastAsia" w:ascii="宋体" w:hAnsi="宋体" w:eastAsia="宋体" w:cs="宋体"/>
        </w:rPr>
      </w:pPr>
      <w:r>
        <w:rPr>
          <w:rFonts w:hint="eastAsia" w:ascii="宋体" w:hAnsi="宋体" w:eastAsia="宋体" w:cs="宋体"/>
        </w:rPr>
        <w:t>②废水</w:t>
      </w:r>
    </w:p>
    <w:p>
      <w:pPr>
        <w:ind w:firstLine="480"/>
        <w:rPr>
          <w:rFonts w:hint="eastAsia" w:ascii="宋体" w:hAnsi="宋体" w:eastAsia="宋体" w:cs="宋体"/>
          <w:bCs/>
        </w:rPr>
      </w:pPr>
      <w:r>
        <w:rPr>
          <w:rFonts w:hint="eastAsia" w:ascii="宋体" w:hAnsi="宋体" w:eastAsia="宋体" w:cs="宋体"/>
          <w:bCs/>
        </w:rPr>
        <w:t>本技改项目无新增废水产生。厂区现有废水主要为生活污水及清洗废水。生活污水主要为职工盥洗废水，盥洗废水用于厂区泼洒抑尘，职工使用厂区防渗旱厕，旱厕定期清掏。设备清洗废水经沉淀池沉淀后循环利用不外排。</w:t>
      </w:r>
    </w:p>
    <w:p>
      <w:pPr>
        <w:ind w:firstLine="480"/>
        <w:rPr>
          <w:rFonts w:hint="eastAsia" w:ascii="宋体" w:hAnsi="宋体" w:eastAsia="宋体" w:cs="宋体"/>
        </w:rPr>
      </w:pPr>
      <w:r>
        <w:rPr>
          <w:rFonts w:hint="eastAsia" w:ascii="宋体" w:hAnsi="宋体" w:eastAsia="宋体" w:cs="宋体"/>
        </w:rPr>
        <w:t>③噪声</w:t>
      </w:r>
    </w:p>
    <w:p>
      <w:pPr>
        <w:ind w:firstLine="480"/>
        <w:rPr>
          <w:rFonts w:hint="eastAsia" w:ascii="宋体" w:hAnsi="宋体" w:eastAsia="宋体" w:cs="宋体"/>
        </w:rPr>
      </w:pPr>
      <w:r>
        <w:rPr>
          <w:rFonts w:hint="eastAsia" w:ascii="宋体" w:hAnsi="宋体" w:eastAsia="宋体" w:cs="宋体"/>
        </w:rPr>
        <w:t>本项目采取隔声、减震、距离衰减等措施后，厂界噪声满足《工业企业厂界环境噪声排放标准》（GB12348-2008）中2类标准，噪声对周围环境影响较小。治理措施可行。</w:t>
      </w:r>
    </w:p>
    <w:p>
      <w:pPr>
        <w:ind w:firstLine="480"/>
        <w:rPr>
          <w:rFonts w:hint="eastAsia" w:ascii="宋体" w:hAnsi="宋体" w:eastAsia="宋体" w:cs="宋体"/>
        </w:rPr>
      </w:pPr>
      <w:r>
        <w:rPr>
          <w:rFonts w:hint="eastAsia" w:ascii="宋体" w:hAnsi="宋体" w:eastAsia="宋体" w:cs="宋体"/>
        </w:rPr>
        <w:t>④固体废弃物</w:t>
      </w:r>
    </w:p>
    <w:p>
      <w:pPr>
        <w:ind w:firstLine="480"/>
        <w:rPr>
          <w:rFonts w:hint="eastAsia" w:ascii="宋体" w:hAnsi="宋体" w:eastAsia="宋体" w:cs="宋体"/>
        </w:rPr>
      </w:pPr>
      <w:r>
        <w:rPr>
          <w:rFonts w:hint="eastAsia" w:ascii="宋体" w:hAnsi="宋体" w:eastAsia="宋体" w:cs="宋体"/>
        </w:rPr>
        <w:t>本项目除尘器收集的粉尘回用于生产；沉淀池沉淀砂石经收集后回用于生产；废混凝土试块收集后</w:t>
      </w:r>
      <w:r>
        <w:rPr>
          <w:rFonts w:hint="eastAsia" w:ascii="宋体" w:hAnsi="宋体" w:eastAsia="宋体" w:cs="宋体"/>
          <w:lang w:val="en-US" w:eastAsia="zh-CN"/>
        </w:rPr>
        <w:t>回用于生产</w:t>
      </w:r>
      <w:r>
        <w:rPr>
          <w:rFonts w:hint="eastAsia" w:ascii="宋体" w:hAnsi="宋体" w:eastAsia="宋体" w:cs="宋体"/>
        </w:rPr>
        <w:t>；生活垃圾由环卫部门清运处理。</w:t>
      </w:r>
    </w:p>
    <w:p>
      <w:pPr>
        <w:ind w:firstLine="480"/>
        <w:rPr>
          <w:rFonts w:hint="eastAsia" w:ascii="宋体" w:hAnsi="宋体" w:eastAsia="宋体" w:cs="宋体"/>
          <w:iCs/>
        </w:rPr>
      </w:pPr>
      <w:r>
        <w:rPr>
          <w:rFonts w:hint="eastAsia" w:ascii="宋体" w:hAnsi="宋体" w:eastAsia="宋体" w:cs="宋体"/>
          <w:iCs/>
        </w:rPr>
        <w:t>（3）项目可行性结论</w:t>
      </w:r>
    </w:p>
    <w:p>
      <w:pPr>
        <w:ind w:firstLine="480"/>
        <w:rPr>
          <w:rFonts w:hint="eastAsia" w:ascii="宋体" w:hAnsi="宋体" w:eastAsia="宋体" w:cs="宋体"/>
        </w:rPr>
      </w:pPr>
      <w:r>
        <w:rPr>
          <w:rFonts w:hint="eastAsia" w:ascii="宋体" w:hAnsi="宋体" w:eastAsia="宋体" w:cs="宋体"/>
        </w:rPr>
        <w:t>本项目的建设符合国家及地方产业政策要求，满足“三线一单”的要求；项目产生的废气、废水、噪声、固废等污染物在满足环评提出各项要求和污染防治措施的基础上，正常运行状态下能够做到达标排放，本项目的建设不会改变区域环境质量功能，对环境影响较小，项目选址可行。</w:t>
      </w:r>
      <w:r>
        <w:rPr>
          <w:rFonts w:hint="eastAsia" w:ascii="宋体" w:hAnsi="宋体" w:eastAsia="宋体" w:cs="宋体"/>
          <w:bCs/>
        </w:rPr>
        <w:t>在全面加强监督管理，认真落实各项环保措施的条件下，</w:t>
      </w:r>
      <w:r>
        <w:rPr>
          <w:rFonts w:hint="eastAsia" w:ascii="宋体" w:hAnsi="宋体" w:eastAsia="宋体" w:cs="宋体"/>
        </w:rPr>
        <w:t>从环保角度分析，项目的建设是可行的。</w:t>
      </w:r>
    </w:p>
    <w:p>
      <w:pPr>
        <w:pStyle w:val="5"/>
        <w:rPr>
          <w:rFonts w:hint="eastAsia" w:ascii="宋体" w:hAnsi="宋体" w:eastAsia="宋体" w:cs="宋体"/>
        </w:rPr>
      </w:pPr>
      <w:bookmarkStart w:id="45" w:name="_Toc20465"/>
      <w:r>
        <w:rPr>
          <w:rFonts w:hint="eastAsia" w:ascii="宋体" w:hAnsi="宋体" w:eastAsia="宋体" w:cs="宋体"/>
        </w:rPr>
        <w:t>4.2审批部门审批意见</w:t>
      </w:r>
      <w:bookmarkEnd w:id="45"/>
    </w:p>
    <w:p>
      <w:pPr>
        <w:ind w:firstLine="480"/>
        <w:rPr>
          <w:rFonts w:hint="eastAsia" w:ascii="宋体" w:hAnsi="宋体" w:eastAsia="宋体" w:cs="宋体"/>
        </w:rPr>
      </w:pPr>
      <w:r>
        <w:rPr>
          <w:rFonts w:hint="eastAsia" w:ascii="宋体" w:hAnsi="宋体" w:cs="宋体"/>
          <w:lang w:eastAsia="zh-CN"/>
        </w:rPr>
        <w:t>2024年01月</w:t>
      </w:r>
      <w:r>
        <w:rPr>
          <w:rFonts w:hint="eastAsia" w:ascii="宋体" w:hAnsi="宋体" w:cs="宋体"/>
          <w:lang w:val="en-US" w:eastAsia="zh-CN"/>
        </w:rPr>
        <w:t>29</w:t>
      </w:r>
      <w:r>
        <w:rPr>
          <w:rFonts w:hint="eastAsia" w:ascii="宋体" w:hAnsi="宋体" w:cs="宋体"/>
          <w:lang w:eastAsia="zh-CN"/>
        </w:rPr>
        <w:t>日</w:t>
      </w:r>
      <w:r>
        <w:rPr>
          <w:rFonts w:hint="eastAsia" w:ascii="宋体" w:hAnsi="宋体" w:eastAsia="宋体" w:cs="宋体"/>
        </w:rPr>
        <w:t>，</w:t>
      </w:r>
      <w:r>
        <w:rPr>
          <w:rFonts w:hint="eastAsia" w:ascii="宋体" w:hAnsi="宋体" w:cs="宋体"/>
          <w:lang w:eastAsia="zh-CN"/>
        </w:rPr>
        <w:t>张家口市行政审批局</w:t>
      </w:r>
      <w:r>
        <w:rPr>
          <w:rFonts w:hint="eastAsia" w:ascii="宋体" w:hAnsi="宋体" w:eastAsia="宋体" w:cs="宋体"/>
        </w:rPr>
        <w:t>出具了《</w:t>
      </w:r>
      <w:r>
        <w:rPr>
          <w:rFonts w:hint="eastAsia" w:ascii="宋体" w:hAnsi="宋体" w:cs="宋体"/>
          <w:lang w:eastAsia="zh-CN"/>
        </w:rPr>
        <w:t>河北友联建筑材料股份有限公司环保设施改造提升项目</w:t>
      </w:r>
      <w:r>
        <w:rPr>
          <w:rFonts w:hint="eastAsia" w:ascii="宋体" w:hAnsi="宋体" w:eastAsia="宋体" w:cs="宋体"/>
        </w:rPr>
        <w:t>环境影响报告表》的审批意见，批文号：</w:t>
      </w:r>
      <w:r>
        <w:rPr>
          <w:rFonts w:hint="eastAsia" w:ascii="宋体" w:hAnsi="宋体" w:cs="宋体"/>
          <w:lang w:eastAsia="zh-CN"/>
        </w:rPr>
        <w:t>张行审立字【2024】71号</w:t>
      </w:r>
      <w:r>
        <w:rPr>
          <w:rFonts w:hint="eastAsia" w:ascii="宋体" w:hAnsi="宋体" w:eastAsia="宋体" w:cs="宋体"/>
        </w:rPr>
        <w:t>，主要审批意见如下：</w:t>
      </w:r>
    </w:p>
    <w:p>
      <w:pPr>
        <w:ind w:firstLine="480"/>
        <w:rPr>
          <w:rFonts w:hint="eastAsia" w:ascii="宋体" w:hAnsi="宋体" w:eastAsia="宋体" w:cs="宋体"/>
        </w:rPr>
      </w:pPr>
      <w:r>
        <w:rPr>
          <w:rFonts w:hint="eastAsia" w:ascii="宋体" w:hAnsi="宋体" w:cs="宋体"/>
          <w:lang w:eastAsia="zh-CN"/>
        </w:rPr>
        <w:t>河北友联建筑材料股份有限公司</w:t>
      </w:r>
      <w:r>
        <w:rPr>
          <w:rFonts w:hint="eastAsia" w:ascii="宋体" w:hAnsi="宋体" w:eastAsia="宋体" w:cs="宋体"/>
        </w:rPr>
        <w:t>所提交的《</w:t>
      </w:r>
      <w:r>
        <w:rPr>
          <w:rFonts w:hint="eastAsia" w:ascii="宋体" w:hAnsi="宋体" w:cs="宋体"/>
          <w:lang w:eastAsia="zh-CN"/>
        </w:rPr>
        <w:t>河北友联建筑材料股份有限公司环保设施改造提升项目</w:t>
      </w:r>
      <w:r>
        <w:rPr>
          <w:rFonts w:hint="eastAsia" w:ascii="宋体" w:hAnsi="宋体" w:eastAsia="宋体" w:cs="宋体"/>
        </w:rPr>
        <w:t>环境影响报告表》（污染影响类）已收悉，根据企业委托</w:t>
      </w:r>
      <w:r>
        <w:rPr>
          <w:rFonts w:hint="eastAsia" w:ascii="宋体" w:hAnsi="宋体" w:eastAsia="宋体" w:cs="宋体"/>
          <w:lang w:eastAsia="zh-CN"/>
        </w:rPr>
        <w:t>张家口昊峰环保科技有限公司</w:t>
      </w:r>
      <w:r>
        <w:rPr>
          <w:rFonts w:hint="eastAsia" w:ascii="宋体" w:hAnsi="宋体" w:eastAsia="宋体" w:cs="宋体"/>
        </w:rPr>
        <w:t>编制的环境影响报告表，现批复意见如下：</w:t>
      </w:r>
    </w:p>
    <w:p>
      <w:pPr>
        <w:ind w:firstLine="480"/>
        <w:rPr>
          <w:rFonts w:hint="eastAsia" w:ascii="宋体" w:hAnsi="宋体" w:eastAsia="宋体" w:cs="宋体"/>
        </w:rPr>
      </w:pPr>
      <w:r>
        <w:rPr>
          <w:rFonts w:hint="eastAsia" w:ascii="宋体" w:hAnsi="宋体" w:eastAsia="宋体" w:cs="宋体"/>
        </w:rPr>
        <w:t>一、</w:t>
      </w:r>
      <w:r>
        <w:rPr>
          <w:rFonts w:hint="eastAsia" w:ascii="宋体" w:hAnsi="宋体" w:cs="宋体"/>
          <w:lang w:eastAsia="zh-CN"/>
        </w:rPr>
        <w:t>河北友联建筑材料股份有限公司</w:t>
      </w:r>
      <w:r>
        <w:rPr>
          <w:rFonts w:hint="eastAsia" w:ascii="宋体" w:hAnsi="宋体" w:eastAsia="宋体" w:cs="宋体"/>
        </w:rPr>
        <w:t>实施的</w:t>
      </w:r>
      <w:r>
        <w:rPr>
          <w:rFonts w:hint="eastAsia" w:ascii="宋体" w:hAnsi="宋体" w:eastAsia="宋体" w:cs="宋体"/>
          <w:lang w:val="en-US" w:eastAsia="zh-CN"/>
        </w:rPr>
        <w:t>技术改造项目</w:t>
      </w:r>
      <w:r>
        <w:rPr>
          <w:rFonts w:hint="eastAsia" w:ascii="宋体" w:hAnsi="宋体" w:eastAsia="宋体" w:cs="宋体"/>
        </w:rPr>
        <w:t>位于</w:t>
      </w:r>
      <w:r>
        <w:rPr>
          <w:rFonts w:hint="eastAsia" w:cs="Times New Roman"/>
          <w:color w:val="auto"/>
          <w:sz w:val="24"/>
          <w:szCs w:val="24"/>
          <w:u w:val="none"/>
          <w:lang w:val="en-US" w:eastAsia="zh-CN"/>
        </w:rPr>
        <w:t>赤城县赤城镇孙家庄村</w:t>
      </w:r>
      <w:r>
        <w:rPr>
          <w:rFonts w:hint="eastAsia" w:ascii="宋体" w:hAnsi="宋体" w:eastAsia="宋体" w:cs="宋体"/>
        </w:rPr>
        <w:t>。项目总投资</w:t>
      </w:r>
      <w:r>
        <w:rPr>
          <w:rFonts w:hint="eastAsia" w:ascii="宋体" w:hAnsi="宋体" w:cs="宋体"/>
          <w:lang w:eastAsia="zh-CN"/>
        </w:rPr>
        <w:t>100万元</w:t>
      </w:r>
      <w:r>
        <w:rPr>
          <w:rFonts w:hint="eastAsia" w:ascii="宋体" w:hAnsi="宋体" w:eastAsia="宋体" w:cs="宋体"/>
        </w:rPr>
        <w:t>，其中环保投资</w:t>
      </w:r>
      <w:r>
        <w:rPr>
          <w:rFonts w:hint="eastAsia" w:ascii="宋体" w:hAnsi="宋体" w:cs="宋体"/>
          <w:lang w:val="en-US" w:eastAsia="zh-CN"/>
        </w:rPr>
        <w:t>100万元</w:t>
      </w:r>
      <w:r>
        <w:rPr>
          <w:rFonts w:hint="eastAsia" w:ascii="宋体" w:hAnsi="宋体" w:eastAsia="宋体" w:cs="宋体"/>
        </w:rPr>
        <w:t>。项目不新增占地面积，主要建设内容为</w:t>
      </w:r>
      <w:r>
        <w:rPr>
          <w:rFonts w:hint="eastAsia" w:ascii="宋体" w:hAnsi="宋体" w:cs="宋体"/>
          <w:lang w:val="en-US" w:eastAsia="zh-CN"/>
        </w:rPr>
        <w:t>设置在线环保监测系统一套，更换洒水车，更换车辆喷淋设备一套，硬化道路和院面，更换除尘设施。项目其他生产规模、生产工艺、配套设施及治污设施不发生变化</w:t>
      </w:r>
      <w:r>
        <w:rPr>
          <w:rFonts w:hint="eastAsia" w:ascii="宋体" w:hAnsi="宋体" w:eastAsia="宋体" w:cs="宋体"/>
          <w:lang w:val="en-US" w:eastAsia="zh-CN"/>
        </w:rPr>
        <w:t>。</w:t>
      </w:r>
    </w:p>
    <w:p>
      <w:pPr>
        <w:ind w:firstLine="480"/>
        <w:rPr>
          <w:rFonts w:hint="eastAsia" w:ascii="宋体" w:hAnsi="宋体" w:eastAsia="宋体" w:cs="宋体"/>
        </w:rPr>
      </w:pPr>
      <w:r>
        <w:rPr>
          <w:rFonts w:hint="eastAsia" w:ascii="宋体" w:hAnsi="宋体" w:eastAsia="宋体" w:cs="宋体"/>
        </w:rPr>
        <w:t>在全面落实环境影响报告表提出的各项环境保护设施及措施，确保各类污染物达标稳定排放的前提下</w:t>
      </w:r>
      <w:r>
        <w:rPr>
          <w:rFonts w:hint="eastAsia" w:ascii="宋体" w:hAnsi="宋体" w:eastAsia="宋体" w:cs="宋体"/>
          <w:lang w:eastAsia="zh-CN"/>
        </w:rPr>
        <w:t>。</w:t>
      </w:r>
      <w:r>
        <w:rPr>
          <w:rFonts w:hint="eastAsia" w:ascii="宋体" w:hAnsi="宋体" w:eastAsia="宋体" w:cs="宋体"/>
        </w:rPr>
        <w:t>该项目对环境不利影响能够得到一定的绣解和控制.我局原则性同意你公司按照环境影响报告表中所列建设项目的地点、性质、规模、采取的环境保护措施进行项目建设。本报告表及批复可作为该项目建设和环境管理以及验收的依据。</w:t>
      </w:r>
    </w:p>
    <w:p>
      <w:pPr>
        <w:ind w:firstLine="480"/>
        <w:rPr>
          <w:rFonts w:hint="eastAsia" w:ascii="宋体" w:hAnsi="宋体" w:eastAsia="宋体" w:cs="宋体"/>
        </w:rPr>
      </w:pPr>
      <w:r>
        <w:rPr>
          <w:rFonts w:hint="eastAsia" w:ascii="宋体" w:hAnsi="宋体" w:eastAsia="宋体" w:cs="宋体"/>
        </w:rPr>
        <w:t>二、项目建设及运营期应严格落实以下要求:</w:t>
      </w:r>
    </w:p>
    <w:p>
      <w:pPr>
        <w:ind w:firstLine="480"/>
        <w:rPr>
          <w:rFonts w:hint="eastAsia" w:ascii="宋体" w:hAnsi="宋体" w:eastAsia="宋体" w:cs="宋体"/>
          <w:lang w:eastAsia="zh-CN"/>
        </w:rPr>
      </w:pPr>
      <w:r>
        <w:rPr>
          <w:rFonts w:hint="eastAsia" w:ascii="宋体" w:hAnsi="宋体" w:eastAsia="宋体" w:cs="宋体"/>
        </w:rPr>
        <w:t>1、加强施工期环境管理。制定严格的规章制唐、合理布置施工现场、安排施工时间，在敏感点附近，应避兔夜间施工，确需夜间燕工的，应报当地环保部门批准后方可实施。运输车辆采取限速、禁鸣等措施，同时严格落实环评报告中提出的其它各项噪声振动防治措施，确保施工期噪声满足“(建筑施工场界环境噪声排放标准》(GB12523-2011)相关限值要求，施工期扬尘须满足《施工场地扬尘排放标准》(DB13/2934-2019)表1中标准要求。确保施工期各项污染物稳定达标排放</w:t>
      </w:r>
      <w:r>
        <w:rPr>
          <w:rFonts w:hint="eastAsia" w:ascii="宋体" w:hAnsi="宋体" w:eastAsia="宋体" w:cs="宋体"/>
          <w:lang w:eastAsia="zh-CN"/>
        </w:rPr>
        <w:t>。</w:t>
      </w:r>
    </w:p>
    <w:p>
      <w:pPr>
        <w:ind w:firstLine="480"/>
        <w:rPr>
          <w:rFonts w:hint="eastAsia" w:ascii="宋体" w:hAnsi="宋体" w:eastAsia="宋体" w:cs="宋体"/>
        </w:rPr>
      </w:pPr>
      <w:r>
        <w:rPr>
          <w:rFonts w:hint="eastAsia" w:ascii="宋体" w:hAnsi="宋体" w:eastAsia="宋体" w:cs="宋体"/>
        </w:rPr>
        <w:t>2、项目</w:t>
      </w:r>
      <w:r>
        <w:rPr>
          <w:rFonts w:hint="eastAsia" w:ascii="宋体" w:hAnsi="宋体" w:cs="宋体"/>
          <w:lang w:val="en-US" w:eastAsia="zh-CN"/>
        </w:rPr>
        <w:t>洗车废水经沉淀池沉淀后循环使用，不外排；</w:t>
      </w:r>
      <w:r>
        <w:rPr>
          <w:rFonts w:hint="eastAsia" w:ascii="宋体" w:hAnsi="宋体" w:eastAsia="宋体" w:cs="宋体"/>
        </w:rPr>
        <w:t>生活污水排入防渗旱厕，定期</w:t>
      </w:r>
      <w:r>
        <w:rPr>
          <w:rFonts w:hint="eastAsia" w:ascii="宋体" w:hAnsi="宋体" w:cs="宋体"/>
          <w:lang w:val="en-US" w:eastAsia="zh-CN"/>
        </w:rPr>
        <w:t>由环卫部门处置，待市政污水管网接通后须无条件接入市政污水管网</w:t>
      </w:r>
      <w:r>
        <w:rPr>
          <w:rFonts w:hint="eastAsia" w:ascii="宋体" w:hAnsi="宋体" w:eastAsia="宋体" w:cs="宋体"/>
        </w:rPr>
        <w:t>。</w:t>
      </w:r>
    </w:p>
    <w:p>
      <w:pPr>
        <w:ind w:firstLine="480"/>
        <w:rPr>
          <w:rFonts w:hint="eastAsia" w:eastAsia="宋体"/>
          <w:lang w:eastAsia="zh-CN"/>
        </w:rPr>
      </w:pPr>
      <w:r>
        <w:rPr>
          <w:rFonts w:hint="eastAsia" w:ascii="宋体" w:hAnsi="宋体" w:eastAsia="宋体" w:cs="宋体"/>
        </w:rPr>
        <w:t>3、</w:t>
      </w:r>
      <w:r>
        <w:rPr>
          <w:rFonts w:hint="eastAsia"/>
        </w:rPr>
        <w:t>项</w:t>
      </w:r>
      <w:r>
        <w:rPr>
          <w:rFonts w:hint="eastAsia" w:ascii="宋体" w:hAnsi="宋体" w:eastAsia="宋体" w:cs="宋体"/>
        </w:rPr>
        <w:t>目</w:t>
      </w:r>
      <w:r>
        <w:rPr>
          <w:rFonts w:hint="eastAsia" w:ascii="宋体" w:hAnsi="宋体" w:eastAsia="宋体" w:cs="宋体"/>
          <w:lang w:val="en-US" w:eastAsia="zh-CN"/>
        </w:rPr>
        <w:t>冬季不生产，不产生供暖问题，</w:t>
      </w:r>
      <w:r>
        <w:rPr>
          <w:rFonts w:hint="eastAsia" w:ascii="宋体" w:hAnsi="宋体" w:eastAsia="宋体" w:cs="宋体"/>
        </w:rPr>
        <w:t>不得新建燃煤设施，项目生产须在封闭车间内进行，项目搅拌楼进行全封闭，搅拌工序粉尘经</w:t>
      </w:r>
      <w:r>
        <w:rPr>
          <w:rFonts w:hint="eastAsia" w:ascii="宋体" w:hAnsi="宋体" w:eastAsia="宋体" w:cs="宋体"/>
          <w:lang w:val="en-US" w:eastAsia="zh-CN"/>
        </w:rPr>
        <w:t>布袋</w:t>
      </w:r>
      <w:r>
        <w:rPr>
          <w:rFonts w:hint="eastAsia" w:ascii="宋体" w:hAnsi="宋体" w:eastAsia="宋体" w:cs="宋体"/>
        </w:rPr>
        <w:t>除尘器处理，满足《水泥工业大气污染物超低排放标准》(DB13/2167-2020)表</w:t>
      </w:r>
      <w:r>
        <w:rPr>
          <w:rFonts w:hint="eastAsia" w:ascii="宋体" w:hAnsi="宋体" w:eastAsia="宋体" w:cs="宋体"/>
          <w:lang w:val="en-US" w:eastAsia="zh-CN"/>
        </w:rPr>
        <w:t>1</w:t>
      </w:r>
      <w:r>
        <w:rPr>
          <w:rFonts w:hint="eastAsia" w:ascii="宋体" w:hAnsi="宋体" w:eastAsia="宋体" w:cs="宋体"/>
        </w:rPr>
        <w:t>排放限值要求后经15m高排气简排放</w:t>
      </w:r>
      <w:r>
        <w:rPr>
          <w:rFonts w:hint="eastAsia" w:ascii="宋体" w:hAnsi="宋体" w:eastAsia="宋体" w:cs="宋体"/>
          <w:lang w:eastAsia="zh-CN"/>
        </w:rPr>
        <w:t>；</w:t>
      </w:r>
      <w:r>
        <w:rPr>
          <w:rFonts w:hint="eastAsia" w:ascii="宋体" w:hAnsi="宋体" w:eastAsia="宋体" w:cs="宋体"/>
        </w:rPr>
        <w:t>原科储存、装卸、输送、投料、配料等工序均进行封用，粉料简仓粉尘均为密闭负压收集，经脉冲除尘器设备处理，满足《水泥工业大气污染物超低排放标准》(DB13/2167-2020)表1排放限值要求后于25m高排放，粉尘无组织排放须满足《水泥工业大气污染物超低排|放标准》(GB4915-2013)表2大气污染物无组织排放限值要求</w:t>
      </w:r>
      <w:r>
        <w:rPr>
          <w:rFonts w:hint="eastAsia" w:ascii="宋体" w:hAnsi="宋体" w:eastAsia="宋体" w:cs="宋体"/>
          <w:lang w:eastAsia="zh-CN"/>
        </w:rPr>
        <w:t>。</w:t>
      </w:r>
    </w:p>
    <w:p>
      <w:pPr>
        <w:ind w:firstLine="480"/>
        <w:rPr>
          <w:rFonts w:hint="eastAsia" w:ascii="宋体" w:hAnsi="宋体" w:eastAsia="宋体" w:cs="宋体"/>
        </w:rPr>
      </w:pPr>
      <w:r>
        <w:rPr>
          <w:rFonts w:hint="eastAsia" w:ascii="宋体" w:hAnsi="宋体" w:eastAsia="宋体" w:cs="宋体"/>
        </w:rPr>
        <w:t>4、优化生产场区布局，合理布置噪声源。选用低噪生产设备，振动大的设备须加装减振机座及隔音设施，加强设备日常检修，确保厂界满足《工业企业厂界环境嗓声排放标准》（GB12348-2008）中2类标准要求。</w:t>
      </w:r>
    </w:p>
    <w:p>
      <w:pPr>
        <w:ind w:firstLine="480"/>
        <w:rPr>
          <w:rFonts w:hint="eastAsia" w:ascii="宋体" w:hAnsi="宋体" w:eastAsia="宋体" w:cs="宋体"/>
          <w:highlight w:val="none"/>
        </w:rPr>
      </w:pPr>
      <w:r>
        <w:rPr>
          <w:rFonts w:hint="eastAsia" w:ascii="宋体" w:hAnsi="宋体" w:eastAsia="宋体" w:cs="宋体"/>
        </w:rPr>
        <w:t>5、除尘器收集的粉尘回用</w:t>
      </w:r>
      <w:r>
        <w:rPr>
          <w:rFonts w:hint="eastAsia" w:ascii="宋体" w:hAnsi="宋体" w:eastAsia="宋体" w:cs="宋体"/>
          <w:highlight w:val="none"/>
        </w:rPr>
        <w:t>于生产；沉淀池</w:t>
      </w:r>
      <w:r>
        <w:rPr>
          <w:rFonts w:hint="eastAsia" w:ascii="宋体" w:hAnsi="宋体" w:cs="宋体"/>
          <w:highlight w:val="none"/>
          <w:lang w:val="en-US" w:eastAsia="zh-CN"/>
        </w:rPr>
        <w:t>底泥</w:t>
      </w:r>
      <w:r>
        <w:rPr>
          <w:rFonts w:hint="eastAsia" w:ascii="宋体" w:hAnsi="宋体" w:eastAsia="宋体" w:cs="宋体"/>
          <w:highlight w:val="none"/>
        </w:rPr>
        <w:t>定期清掏后回用于生产，不合格产品、试验废块集中收集后回用于生产。生活垃及分类收集，由环卫部门清运处理。</w:t>
      </w:r>
    </w:p>
    <w:p>
      <w:pPr>
        <w:ind w:firstLine="480"/>
        <w:rPr>
          <w:rFonts w:hint="eastAsia" w:ascii="宋体" w:hAnsi="宋体" w:eastAsia="宋体" w:cs="宋体"/>
          <w:lang w:eastAsia="zh-CN"/>
        </w:rPr>
      </w:pPr>
      <w:r>
        <w:rPr>
          <w:rFonts w:hint="eastAsia" w:ascii="宋体" w:hAnsi="宋体" w:eastAsia="宋体" w:cs="宋体"/>
        </w:rPr>
        <w:t>6、按要求做好路面硬化、防渗早厕、循环沉淀池等场所的防渗措施，</w:t>
      </w:r>
      <w:r>
        <w:rPr>
          <w:rFonts w:hint="eastAsia" w:ascii="宋体" w:hAnsi="宋体" w:cs="宋体"/>
          <w:lang w:val="en-US" w:eastAsia="zh-CN"/>
        </w:rPr>
        <w:t>厂</w:t>
      </w:r>
      <w:r>
        <w:rPr>
          <w:rFonts w:hint="eastAsia" w:ascii="宋体" w:hAnsi="宋体" w:eastAsia="宋体" w:cs="宋体"/>
        </w:rPr>
        <w:t>区道路须硬化，物料及成品须入库，装卸料工序采取苦盖等有效措施，做好洒水抑尘工作</w:t>
      </w:r>
      <w:r>
        <w:rPr>
          <w:rFonts w:hint="eastAsia" w:ascii="宋体" w:hAnsi="宋体" w:cs="宋体"/>
          <w:lang w:eastAsia="zh-CN"/>
        </w:rPr>
        <w:t>。</w:t>
      </w:r>
    </w:p>
    <w:p>
      <w:pPr>
        <w:ind w:firstLine="480"/>
        <w:rPr>
          <w:rFonts w:hint="eastAsia" w:ascii="宋体" w:hAnsi="宋体" w:eastAsia="宋体" w:cs="宋体"/>
        </w:rPr>
      </w:pPr>
      <w:r>
        <w:rPr>
          <w:rFonts w:hint="eastAsia" w:ascii="宋体" w:hAnsi="宋体" w:eastAsia="宋体" w:cs="宋体"/>
        </w:rPr>
        <w:t>7、按要求做好风险防范措施，确保风险事故下的环境安全。</w:t>
      </w:r>
    </w:p>
    <w:p>
      <w:pPr>
        <w:ind w:firstLine="480"/>
        <w:rPr>
          <w:rFonts w:hint="eastAsia" w:ascii="宋体" w:hAnsi="宋体" w:eastAsia="宋体" w:cs="宋体"/>
        </w:rPr>
      </w:pPr>
      <w:r>
        <w:rPr>
          <w:rFonts w:hint="eastAsia" w:ascii="宋体" w:hAnsi="宋体" w:eastAsia="宋体" w:cs="宋体"/>
        </w:rPr>
        <w:t>三、项目建设必须严格执行“三同时”管理制度，如项目性质、规模、选址或者防止生态破坏、防止污染的措施发生重大变动，应当在调整前重新报批本项目环境影响评价</w:t>
      </w:r>
      <w:r>
        <w:rPr>
          <w:rFonts w:hint="eastAsia" w:ascii="宋体" w:hAnsi="宋体" w:cs="宋体"/>
          <w:lang w:val="en-US" w:eastAsia="zh-CN"/>
        </w:rPr>
        <w:t>文件</w:t>
      </w:r>
      <w:r>
        <w:rPr>
          <w:rFonts w:hint="eastAsia" w:ascii="宋体" w:hAnsi="宋体" w:eastAsia="宋体" w:cs="宋体"/>
        </w:rPr>
        <w:t>。</w:t>
      </w:r>
    </w:p>
    <w:p>
      <w:pPr>
        <w:ind w:firstLine="480"/>
        <w:rPr>
          <w:rFonts w:hint="eastAsia" w:ascii="宋体" w:hAnsi="宋体" w:eastAsia="宋体" w:cs="宋体"/>
          <w:bCs/>
        </w:rPr>
      </w:pPr>
      <w:r>
        <w:rPr>
          <w:rFonts w:hint="eastAsia" w:ascii="宋体" w:hAnsi="宋体" w:eastAsia="宋体" w:cs="宋体"/>
        </w:rPr>
        <w:t>四、你公司接到本项目环评文件批复后，应将批准后的环境影响报告表及批复送至相关生态环境行政主管部门，并按规定接受属地生态环境行政主管部门的监督检查。</w:t>
      </w:r>
    </w:p>
    <w:p>
      <w:pPr>
        <w:pStyle w:val="5"/>
        <w:rPr>
          <w:rFonts w:hint="eastAsia" w:ascii="宋体" w:hAnsi="宋体" w:eastAsia="宋体" w:cs="宋体"/>
        </w:rPr>
      </w:pPr>
      <w:bookmarkStart w:id="46" w:name="_Toc32401"/>
      <w:bookmarkStart w:id="47" w:name="_Toc29995829"/>
      <w:r>
        <w:rPr>
          <w:rFonts w:hint="eastAsia" w:ascii="宋体" w:hAnsi="宋体" w:eastAsia="宋体" w:cs="宋体"/>
        </w:rPr>
        <w:t>4.3审批意见落实情况</w:t>
      </w:r>
      <w:bookmarkEnd w:id="46"/>
    </w:p>
    <w:p>
      <w:pPr>
        <w:ind w:firstLine="480"/>
        <w:rPr>
          <w:rFonts w:hint="eastAsia" w:ascii="宋体" w:hAnsi="宋体" w:eastAsia="宋体" w:cs="宋体"/>
        </w:rPr>
      </w:pPr>
      <w:r>
        <w:rPr>
          <w:rFonts w:hint="eastAsia" w:ascii="宋体" w:hAnsi="宋体" w:eastAsia="宋体" w:cs="宋体"/>
        </w:rPr>
        <w:t>项目审批意见落实情况见下表4-1。</w:t>
      </w:r>
    </w:p>
    <w:p>
      <w:pPr>
        <w:pStyle w:val="110"/>
        <w:rPr>
          <w:rFonts w:hint="eastAsia" w:ascii="宋体" w:hAnsi="宋体" w:eastAsia="宋体" w:cs="宋体"/>
        </w:rPr>
      </w:pPr>
      <w:r>
        <w:rPr>
          <w:rFonts w:hint="eastAsia" w:ascii="宋体" w:hAnsi="宋体" w:eastAsia="宋体" w:cs="宋体"/>
        </w:rPr>
        <w:t>表4-1  环评审批意见落实情况</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4660"/>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pStyle w:val="112"/>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734" w:type="pct"/>
            <w:vAlign w:val="center"/>
          </w:tcPr>
          <w:p>
            <w:pPr>
              <w:pStyle w:val="112"/>
              <w:rPr>
                <w:rFonts w:hint="eastAsia" w:ascii="宋体" w:hAnsi="宋体" w:eastAsia="宋体" w:cs="宋体"/>
                <w:b/>
                <w:bCs/>
                <w:sz w:val="21"/>
                <w:szCs w:val="21"/>
              </w:rPr>
            </w:pPr>
            <w:r>
              <w:rPr>
                <w:rFonts w:hint="eastAsia" w:ascii="宋体" w:hAnsi="宋体" w:eastAsia="宋体" w:cs="宋体"/>
                <w:b/>
                <w:bCs/>
                <w:sz w:val="21"/>
                <w:szCs w:val="21"/>
              </w:rPr>
              <w:t>审批意见内容</w:t>
            </w:r>
          </w:p>
        </w:tc>
        <w:tc>
          <w:tcPr>
            <w:tcW w:w="1842" w:type="pct"/>
            <w:vAlign w:val="center"/>
          </w:tcPr>
          <w:p>
            <w:pPr>
              <w:pStyle w:val="112"/>
              <w:rPr>
                <w:rFonts w:hint="eastAsia" w:ascii="宋体" w:hAnsi="宋体" w:eastAsia="宋体" w:cs="宋体"/>
                <w:b/>
                <w:bCs/>
                <w:sz w:val="21"/>
                <w:szCs w:val="21"/>
              </w:rPr>
            </w:pPr>
            <w:r>
              <w:rPr>
                <w:rFonts w:hint="eastAsia" w:ascii="宋体" w:hAnsi="宋体" w:eastAsia="宋体" w:cs="宋体"/>
                <w:b/>
                <w:bCs/>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424"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1</w:t>
            </w:r>
          </w:p>
        </w:tc>
        <w:tc>
          <w:tcPr>
            <w:tcW w:w="2734" w:type="pct"/>
            <w:vAlign w:val="center"/>
          </w:tcPr>
          <w:p>
            <w:pPr>
              <w:pStyle w:val="112"/>
              <w:rPr>
                <w:rFonts w:hint="eastAsia" w:ascii="宋体" w:hAnsi="宋体" w:eastAsia="宋体" w:cs="宋体"/>
                <w:sz w:val="21"/>
                <w:szCs w:val="21"/>
                <w:lang w:eastAsia="zh-CN"/>
              </w:rPr>
            </w:pPr>
            <w:r>
              <w:rPr>
                <w:rFonts w:hint="eastAsia" w:ascii="宋体" w:hAnsi="宋体" w:eastAsia="宋体" w:cs="宋体"/>
                <w:sz w:val="21"/>
                <w:szCs w:val="21"/>
              </w:rPr>
              <w:t>建设单位：</w:t>
            </w:r>
            <w:r>
              <w:rPr>
                <w:rFonts w:hint="eastAsia" w:ascii="宋体" w:hAnsi="宋体" w:cs="宋体"/>
                <w:sz w:val="21"/>
                <w:szCs w:val="21"/>
                <w:lang w:eastAsia="zh-CN"/>
              </w:rPr>
              <w:t>河北友联建筑材料股份有限公司</w:t>
            </w:r>
          </w:p>
        </w:tc>
        <w:tc>
          <w:tcPr>
            <w:tcW w:w="1842"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建设单位不变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2</w:t>
            </w:r>
          </w:p>
        </w:tc>
        <w:tc>
          <w:tcPr>
            <w:tcW w:w="2734"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建设地点：</w:t>
            </w:r>
            <w:r>
              <w:rPr>
                <w:rFonts w:hint="eastAsia" w:cs="Times New Roman"/>
                <w:color w:val="auto"/>
                <w:sz w:val="21"/>
                <w:szCs w:val="21"/>
                <w:u w:val="none"/>
                <w:lang w:val="en-US" w:eastAsia="zh-CN"/>
              </w:rPr>
              <w:t>赤城县赤城镇孙家庄村</w:t>
            </w:r>
          </w:p>
        </w:tc>
        <w:tc>
          <w:tcPr>
            <w:tcW w:w="1842"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建设地点不变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424"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3</w:t>
            </w:r>
          </w:p>
        </w:tc>
        <w:tc>
          <w:tcPr>
            <w:tcW w:w="2734" w:type="pct"/>
            <w:vAlign w:val="center"/>
          </w:tcPr>
          <w:p>
            <w:pPr>
              <w:pStyle w:val="112"/>
              <w:rPr>
                <w:rFonts w:hint="default" w:ascii="宋体" w:hAnsi="宋体" w:eastAsia="宋体" w:cs="宋体"/>
                <w:sz w:val="21"/>
                <w:szCs w:val="21"/>
                <w:lang w:val="en-US"/>
              </w:rPr>
            </w:pPr>
            <w:r>
              <w:rPr>
                <w:rFonts w:hint="eastAsia" w:ascii="宋体" w:hAnsi="宋体" w:eastAsia="宋体" w:cs="宋体"/>
                <w:sz w:val="21"/>
                <w:szCs w:val="21"/>
              </w:rPr>
              <w:t>建设内容：</w:t>
            </w:r>
            <w:r>
              <w:rPr>
                <w:rFonts w:hint="eastAsia" w:ascii="宋体" w:hAnsi="宋体" w:cs="宋体"/>
                <w:sz w:val="21"/>
                <w:szCs w:val="21"/>
                <w:lang w:val="en-US" w:eastAsia="zh-CN"/>
              </w:rPr>
              <w:t>设置在线环保监测系统一套，更换洒水车，更换车辆喷淋设备一套，硬化道路和院面，更换除尘设施等</w:t>
            </w:r>
            <w:r>
              <w:rPr>
                <w:rFonts w:hint="eastAsia" w:ascii="宋体" w:hAnsi="宋体" w:eastAsia="宋体" w:cs="宋体"/>
                <w:sz w:val="21"/>
                <w:szCs w:val="21"/>
              </w:rPr>
              <w:t>，项目建成后</w:t>
            </w:r>
            <w:r>
              <w:rPr>
                <w:rFonts w:hint="eastAsia" w:ascii="宋体" w:hAnsi="宋体" w:eastAsia="宋体" w:cs="宋体"/>
                <w:sz w:val="21"/>
                <w:szCs w:val="21"/>
                <w:lang w:val="en-US" w:eastAsia="zh-CN"/>
              </w:rPr>
              <w:t>生产规模为</w:t>
            </w:r>
            <w:r>
              <w:rPr>
                <w:rFonts w:hint="eastAsia" w:ascii="宋体" w:hAnsi="宋体" w:cs="宋体"/>
                <w:sz w:val="21"/>
                <w:szCs w:val="21"/>
                <w:lang w:val="en-US" w:eastAsia="zh-CN"/>
              </w:rPr>
              <w:t>年产商品混凝土6万立方米，年产预拌干粉砂浆35万吨</w:t>
            </w:r>
            <w:r>
              <w:rPr>
                <w:rFonts w:hint="eastAsia" w:ascii="宋体" w:hAnsi="宋体" w:eastAsia="宋体" w:cs="宋体"/>
                <w:sz w:val="21"/>
                <w:szCs w:val="21"/>
                <w:lang w:val="en-US" w:eastAsia="zh-CN"/>
              </w:rPr>
              <w:t>。</w:t>
            </w:r>
          </w:p>
        </w:tc>
        <w:tc>
          <w:tcPr>
            <w:tcW w:w="1842"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建设内容不变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4</w:t>
            </w:r>
          </w:p>
        </w:tc>
        <w:tc>
          <w:tcPr>
            <w:tcW w:w="2734"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项目总投资</w:t>
            </w:r>
            <w:r>
              <w:rPr>
                <w:rFonts w:hint="eastAsia" w:ascii="宋体" w:hAnsi="宋体" w:cs="宋体"/>
                <w:sz w:val="21"/>
                <w:szCs w:val="21"/>
                <w:lang w:eastAsia="zh-CN"/>
              </w:rPr>
              <w:t>100万元</w:t>
            </w:r>
            <w:r>
              <w:rPr>
                <w:rFonts w:hint="eastAsia" w:ascii="宋体" w:hAnsi="宋体" w:eastAsia="宋体" w:cs="宋体"/>
                <w:sz w:val="21"/>
                <w:szCs w:val="21"/>
              </w:rPr>
              <w:t>，其中环保投资</w:t>
            </w:r>
            <w:r>
              <w:rPr>
                <w:rFonts w:hint="eastAsia" w:ascii="宋体" w:hAnsi="宋体" w:cs="宋体"/>
                <w:sz w:val="21"/>
                <w:szCs w:val="21"/>
                <w:lang w:val="en-US" w:eastAsia="zh-CN"/>
              </w:rPr>
              <w:t>100万元</w:t>
            </w:r>
          </w:p>
        </w:tc>
        <w:tc>
          <w:tcPr>
            <w:tcW w:w="1842"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项目投资基本不变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trPr>
        <w:tc>
          <w:tcPr>
            <w:tcW w:w="424"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5</w:t>
            </w:r>
          </w:p>
        </w:tc>
        <w:tc>
          <w:tcPr>
            <w:tcW w:w="2734"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加强施工期环境管理，制定严格的规章制度，合理布置施工现场、安排施工时间。在敏感点附近，应避免夜间施工，确需夜间施工的，应报当地环保部门批准后方可实施。运输车辆采取限速、禁鸣等措施，同时严格落实环评报告中提出的其它各项噪声振动防治措施，确保施工期噪声满足《建筑施工场界环境噪声排放标准》（GB12523-2011）相关限值要求，施工期扬尘须满足《施工场地扬尘排放标准》（DB13/2934-2019）表1中标准要求，确保施工期各项污染物稳定达标排放。</w:t>
            </w:r>
          </w:p>
        </w:tc>
        <w:tc>
          <w:tcPr>
            <w:tcW w:w="1842"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已落实，项目施工期较短，加强管理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rPr>
        <w:tc>
          <w:tcPr>
            <w:tcW w:w="424" w:type="pct"/>
            <w:vAlign w:val="center"/>
          </w:tcPr>
          <w:p>
            <w:pPr>
              <w:pStyle w:val="112"/>
              <w:rPr>
                <w:rFonts w:hint="eastAsia" w:ascii="宋体" w:hAnsi="宋体" w:eastAsia="宋体" w:cs="宋体"/>
                <w:spacing w:val="6"/>
                <w:sz w:val="21"/>
                <w:szCs w:val="21"/>
              </w:rPr>
            </w:pPr>
            <w:r>
              <w:rPr>
                <w:rFonts w:hint="eastAsia" w:ascii="宋体" w:hAnsi="宋体" w:eastAsia="宋体" w:cs="宋体"/>
                <w:spacing w:val="6"/>
                <w:sz w:val="21"/>
                <w:szCs w:val="21"/>
              </w:rPr>
              <w:t>6</w:t>
            </w:r>
          </w:p>
        </w:tc>
        <w:tc>
          <w:tcPr>
            <w:tcW w:w="2734" w:type="pct"/>
            <w:vAlign w:val="center"/>
          </w:tcPr>
          <w:p>
            <w:pPr>
              <w:pStyle w:val="112"/>
              <w:jc w:val="left"/>
              <w:rPr>
                <w:rFonts w:hint="eastAsia" w:ascii="宋体" w:hAnsi="宋体" w:eastAsia="宋体" w:cs="宋体"/>
                <w:sz w:val="21"/>
                <w:szCs w:val="21"/>
              </w:rPr>
            </w:pPr>
            <w:r>
              <w:rPr>
                <w:rFonts w:hint="eastAsia" w:ascii="宋体" w:hAnsi="宋体" w:eastAsia="宋体" w:cs="宋体"/>
                <w:sz w:val="21"/>
                <w:szCs w:val="21"/>
              </w:rPr>
              <w:t>项目</w:t>
            </w:r>
            <w:r>
              <w:rPr>
                <w:rFonts w:hint="eastAsia" w:ascii="宋体" w:hAnsi="宋体" w:eastAsia="宋体" w:cs="宋体"/>
                <w:sz w:val="21"/>
                <w:szCs w:val="21"/>
                <w:lang w:val="en-US" w:eastAsia="zh-CN"/>
              </w:rPr>
              <w:t>洗车废水经沉淀池沉淀后循环使用，不外排；</w:t>
            </w:r>
            <w:r>
              <w:rPr>
                <w:rFonts w:hint="eastAsia" w:ascii="宋体" w:hAnsi="宋体" w:eastAsia="宋体" w:cs="宋体"/>
                <w:sz w:val="21"/>
                <w:szCs w:val="21"/>
              </w:rPr>
              <w:t>生活污水排入防渗旱厕，定期</w:t>
            </w:r>
            <w:r>
              <w:rPr>
                <w:rFonts w:hint="eastAsia" w:ascii="宋体" w:hAnsi="宋体" w:eastAsia="宋体" w:cs="宋体"/>
                <w:sz w:val="21"/>
                <w:szCs w:val="21"/>
                <w:lang w:val="en-US" w:eastAsia="zh-CN"/>
              </w:rPr>
              <w:t>由环卫部门处置，待市政污水管网接通后须无条件接入市政污水管网</w:t>
            </w:r>
            <w:r>
              <w:rPr>
                <w:rFonts w:hint="eastAsia" w:ascii="宋体" w:hAnsi="宋体" w:eastAsia="宋体" w:cs="宋体"/>
                <w:sz w:val="21"/>
                <w:szCs w:val="21"/>
              </w:rPr>
              <w:t>。</w:t>
            </w:r>
          </w:p>
        </w:tc>
        <w:tc>
          <w:tcPr>
            <w:tcW w:w="1842" w:type="pct"/>
            <w:vAlign w:val="center"/>
          </w:tcPr>
          <w:p>
            <w:pPr>
              <w:pStyle w:val="112"/>
              <w:rPr>
                <w:rFonts w:hint="eastAsia" w:ascii="宋体" w:hAnsi="宋体" w:eastAsia="宋体" w:cs="宋体"/>
                <w:spacing w:val="6"/>
                <w:sz w:val="21"/>
                <w:szCs w:val="21"/>
              </w:rPr>
            </w:pPr>
            <w:r>
              <w:rPr>
                <w:rFonts w:hint="eastAsia" w:ascii="宋体" w:hAnsi="宋体" w:eastAsia="宋体" w:cs="宋体"/>
                <w:spacing w:val="6"/>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rPr>
        <w:tc>
          <w:tcPr>
            <w:tcW w:w="424" w:type="pct"/>
            <w:vAlign w:val="center"/>
          </w:tcPr>
          <w:p>
            <w:pPr>
              <w:pStyle w:val="112"/>
              <w:rPr>
                <w:rFonts w:hint="eastAsia" w:ascii="宋体" w:hAnsi="宋体" w:eastAsia="宋体" w:cs="宋体"/>
                <w:spacing w:val="6"/>
                <w:sz w:val="21"/>
                <w:szCs w:val="21"/>
              </w:rPr>
            </w:pPr>
            <w:r>
              <w:rPr>
                <w:rFonts w:hint="eastAsia" w:ascii="宋体" w:hAnsi="宋体" w:eastAsia="宋体" w:cs="宋体"/>
                <w:spacing w:val="6"/>
                <w:sz w:val="21"/>
                <w:szCs w:val="21"/>
              </w:rPr>
              <w:t>7</w:t>
            </w:r>
          </w:p>
        </w:tc>
        <w:tc>
          <w:tcPr>
            <w:tcW w:w="2734"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项目</w:t>
            </w:r>
            <w:r>
              <w:rPr>
                <w:rFonts w:hint="eastAsia" w:ascii="宋体" w:hAnsi="宋体" w:eastAsia="宋体" w:cs="宋体"/>
                <w:sz w:val="21"/>
                <w:szCs w:val="21"/>
                <w:lang w:val="en-US" w:eastAsia="zh-CN"/>
              </w:rPr>
              <w:t>冬季不生产，不产生供暖问题，</w:t>
            </w:r>
            <w:r>
              <w:rPr>
                <w:rFonts w:hint="eastAsia" w:ascii="宋体" w:hAnsi="宋体" w:eastAsia="宋体" w:cs="宋体"/>
                <w:sz w:val="21"/>
                <w:szCs w:val="21"/>
              </w:rPr>
              <w:t>不得新建燃煤设施，项目生产须在封闭车间内进行，项目搅拌楼进行全封闭，搅拌工序粉尘经</w:t>
            </w:r>
            <w:r>
              <w:rPr>
                <w:rFonts w:hint="eastAsia" w:ascii="宋体" w:hAnsi="宋体" w:eastAsia="宋体" w:cs="宋体"/>
                <w:sz w:val="21"/>
                <w:szCs w:val="21"/>
                <w:lang w:val="en-US" w:eastAsia="zh-CN"/>
              </w:rPr>
              <w:t>布袋</w:t>
            </w:r>
            <w:r>
              <w:rPr>
                <w:rFonts w:hint="eastAsia" w:ascii="宋体" w:hAnsi="宋体" w:eastAsia="宋体" w:cs="宋体"/>
                <w:sz w:val="21"/>
                <w:szCs w:val="21"/>
              </w:rPr>
              <w:t>除尘器处理，满足《水泥工业大气污染物超低排放标准》(DB13/2167-2020)表</w:t>
            </w:r>
            <w:r>
              <w:rPr>
                <w:rFonts w:hint="eastAsia" w:ascii="宋体" w:hAnsi="宋体" w:eastAsia="宋体" w:cs="宋体"/>
                <w:sz w:val="21"/>
                <w:szCs w:val="21"/>
                <w:lang w:val="en-US" w:eastAsia="zh-CN"/>
              </w:rPr>
              <w:t>1</w:t>
            </w:r>
            <w:r>
              <w:rPr>
                <w:rFonts w:hint="eastAsia" w:ascii="宋体" w:hAnsi="宋体" w:eastAsia="宋体" w:cs="宋体"/>
                <w:sz w:val="21"/>
                <w:szCs w:val="21"/>
              </w:rPr>
              <w:t>排放限值要求后经15m高排气简排放</w:t>
            </w:r>
            <w:r>
              <w:rPr>
                <w:rFonts w:hint="eastAsia" w:ascii="宋体" w:hAnsi="宋体" w:eastAsia="宋体" w:cs="宋体"/>
                <w:sz w:val="21"/>
                <w:szCs w:val="21"/>
                <w:lang w:eastAsia="zh-CN"/>
              </w:rPr>
              <w:t>；</w:t>
            </w:r>
            <w:r>
              <w:rPr>
                <w:rFonts w:hint="eastAsia" w:ascii="宋体" w:hAnsi="宋体" w:eastAsia="宋体" w:cs="宋体"/>
                <w:sz w:val="21"/>
                <w:szCs w:val="21"/>
              </w:rPr>
              <w:t>原科储存、装卸、输送、投料、配料等工序均进行封用，粉料简仓粉尘均为密闭负压收集，经脉冲除尘器设备处理，满足《水泥工业大气污染物超低排放标准》(DB13/2167-2020)表1排放限值要求后于25m高排放，粉尘无组织排放须满足《水泥工业大气污染物超低排|放标准》(GB4915-2013)表2大气污染物无组织排放限值要求</w:t>
            </w:r>
            <w:r>
              <w:rPr>
                <w:rFonts w:hint="eastAsia" w:ascii="宋体" w:hAnsi="宋体" w:eastAsia="宋体" w:cs="宋体"/>
                <w:sz w:val="21"/>
                <w:szCs w:val="21"/>
                <w:lang w:eastAsia="zh-CN"/>
              </w:rPr>
              <w:t>。</w:t>
            </w:r>
          </w:p>
        </w:tc>
        <w:tc>
          <w:tcPr>
            <w:tcW w:w="1842" w:type="pct"/>
            <w:vAlign w:val="center"/>
          </w:tcPr>
          <w:p>
            <w:pPr>
              <w:pStyle w:val="112"/>
              <w:rPr>
                <w:rFonts w:hint="eastAsia" w:ascii="宋体" w:hAnsi="宋体" w:eastAsia="宋体" w:cs="宋体"/>
                <w:bCs/>
                <w:sz w:val="21"/>
                <w:szCs w:val="21"/>
              </w:rPr>
            </w:pPr>
            <w:r>
              <w:rPr>
                <w:rFonts w:hint="eastAsia" w:ascii="宋体" w:hAnsi="宋体" w:eastAsia="宋体" w:cs="宋体"/>
                <w:spacing w:val="6"/>
                <w:sz w:val="21"/>
                <w:szCs w:val="21"/>
              </w:rPr>
              <w:t>已落实，项目筒仓为负压工作环境，粉尘经仓顶除尘器处理；搅拌楼搅拌粉尘经布袋除尘器处理后</w:t>
            </w:r>
            <w:r>
              <w:rPr>
                <w:rFonts w:hint="eastAsia" w:ascii="宋体" w:hAnsi="宋体" w:cs="宋体"/>
                <w:spacing w:val="6"/>
                <w:sz w:val="21"/>
                <w:szCs w:val="21"/>
                <w:lang w:eastAsia="zh-CN"/>
              </w:rPr>
              <w:t>通过15米高排气筒高空排放</w:t>
            </w:r>
            <w:r>
              <w:rPr>
                <w:rFonts w:hint="eastAsia" w:ascii="宋体" w:hAnsi="宋体" w:eastAsia="宋体" w:cs="宋体"/>
                <w:spacing w:val="6"/>
                <w:sz w:val="21"/>
                <w:szCs w:val="21"/>
              </w:rPr>
              <w:t>；</w:t>
            </w:r>
            <w:r>
              <w:rPr>
                <w:rFonts w:hint="eastAsia" w:ascii="宋体" w:hAnsi="宋体" w:eastAsia="宋体" w:cs="宋体"/>
                <w:bCs/>
                <w:sz w:val="21"/>
                <w:szCs w:val="21"/>
              </w:rPr>
              <w:t>原料库密闭，喷淋洒水；厂区地面采取硬化措施，</w:t>
            </w:r>
            <w:r>
              <w:rPr>
                <w:rFonts w:hint="eastAsia" w:ascii="宋体" w:hAnsi="宋体" w:eastAsia="宋体" w:cs="宋体"/>
                <w:sz w:val="21"/>
                <w:szCs w:val="21"/>
              </w:rPr>
              <w:t>并定时洒水清扫</w:t>
            </w:r>
            <w:r>
              <w:rPr>
                <w:rFonts w:hint="eastAsia" w:ascii="宋体" w:hAnsi="宋体" w:eastAsia="宋体" w:cs="宋体"/>
                <w:bCs/>
                <w:sz w:val="21"/>
                <w:szCs w:val="21"/>
              </w:rPr>
              <w:t>；采用密闭传送带。</w:t>
            </w:r>
          </w:p>
          <w:p>
            <w:pPr>
              <w:pStyle w:val="112"/>
              <w:rPr>
                <w:rFonts w:hint="eastAsia" w:ascii="宋体" w:hAnsi="宋体" w:eastAsia="宋体" w:cs="宋体"/>
                <w:spacing w:val="6"/>
                <w:sz w:val="21"/>
                <w:szCs w:val="21"/>
              </w:rPr>
            </w:pPr>
            <w:r>
              <w:rPr>
                <w:rFonts w:hint="eastAsia" w:ascii="宋体" w:hAnsi="宋体" w:eastAsia="宋体" w:cs="宋体"/>
                <w:spacing w:val="6"/>
                <w:sz w:val="21"/>
                <w:szCs w:val="21"/>
              </w:rPr>
              <w:t>由于冬季公司处于停产状态，因此废气无法满足验收监测条件，待项目后期正常运行后，对厂区废气进行补充监测。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2" w:hRule="atLeast"/>
        </w:trPr>
        <w:tc>
          <w:tcPr>
            <w:tcW w:w="424" w:type="pct"/>
            <w:vAlign w:val="center"/>
          </w:tcPr>
          <w:p>
            <w:pPr>
              <w:pStyle w:val="112"/>
              <w:rPr>
                <w:rFonts w:hint="eastAsia" w:ascii="宋体" w:hAnsi="宋体" w:eastAsia="宋体" w:cs="宋体"/>
                <w:spacing w:val="6"/>
                <w:sz w:val="21"/>
                <w:szCs w:val="21"/>
              </w:rPr>
            </w:pPr>
            <w:r>
              <w:rPr>
                <w:rFonts w:hint="eastAsia" w:ascii="宋体" w:hAnsi="宋体" w:eastAsia="宋体" w:cs="宋体"/>
                <w:spacing w:val="6"/>
                <w:sz w:val="21"/>
                <w:szCs w:val="21"/>
              </w:rPr>
              <w:t>8</w:t>
            </w:r>
          </w:p>
        </w:tc>
        <w:tc>
          <w:tcPr>
            <w:tcW w:w="2734" w:type="pct"/>
            <w:vAlign w:val="center"/>
          </w:tcPr>
          <w:p>
            <w:pPr>
              <w:pStyle w:val="112"/>
              <w:rPr>
                <w:rFonts w:hint="eastAsia" w:ascii="宋体" w:hAnsi="宋体" w:eastAsia="宋体" w:cs="宋体"/>
                <w:sz w:val="21"/>
                <w:szCs w:val="21"/>
              </w:rPr>
            </w:pPr>
            <w:r>
              <w:rPr>
                <w:rFonts w:hint="eastAsia" w:ascii="宋体" w:hAnsi="宋体" w:eastAsia="宋体" w:cs="宋体"/>
                <w:sz w:val="21"/>
                <w:szCs w:val="21"/>
              </w:rPr>
              <w:t>优化生产场区布局，合理布置噪声源。选用低噪生产设备，振动大的设备须加装减振机座及隔音设施，加强设备日常检修，确保厂界满足《工业企业厂界环境嗓声排放标准》（GB12348-2008）中2类标准要求。</w:t>
            </w:r>
          </w:p>
        </w:tc>
        <w:tc>
          <w:tcPr>
            <w:tcW w:w="1842" w:type="pct"/>
            <w:vAlign w:val="center"/>
          </w:tcPr>
          <w:p>
            <w:pPr>
              <w:pStyle w:val="112"/>
              <w:rPr>
                <w:rFonts w:hint="eastAsia" w:ascii="宋体" w:hAnsi="宋体" w:eastAsia="宋体" w:cs="宋体"/>
                <w:spacing w:val="6"/>
                <w:sz w:val="21"/>
                <w:szCs w:val="21"/>
              </w:rPr>
            </w:pPr>
            <w:r>
              <w:rPr>
                <w:rFonts w:hint="eastAsia" w:ascii="宋体" w:hAnsi="宋体" w:eastAsia="宋体" w:cs="宋体"/>
                <w:spacing w:val="6"/>
                <w:sz w:val="21"/>
                <w:szCs w:val="21"/>
              </w:rPr>
              <w:t>已落实，本项目选用低噪声设备，设置基础减振，厂房隔声措施，但由于冬季公司处于停产状态，因此厂界噪声无法满足验收监测条件，待项目后期正常运行后，对厂界噪声进行补充监测。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3" w:hRule="atLeast"/>
        </w:trPr>
        <w:tc>
          <w:tcPr>
            <w:tcW w:w="424" w:type="pct"/>
            <w:vAlign w:val="center"/>
          </w:tcPr>
          <w:p>
            <w:pPr>
              <w:pStyle w:val="112"/>
              <w:rPr>
                <w:rFonts w:hint="eastAsia" w:ascii="宋体" w:hAnsi="宋体" w:eastAsia="宋体" w:cs="宋体"/>
                <w:spacing w:val="6"/>
                <w:sz w:val="21"/>
                <w:szCs w:val="21"/>
              </w:rPr>
            </w:pPr>
            <w:r>
              <w:rPr>
                <w:rFonts w:hint="eastAsia" w:ascii="宋体" w:hAnsi="宋体" w:eastAsia="宋体" w:cs="宋体"/>
                <w:spacing w:val="6"/>
                <w:sz w:val="21"/>
                <w:szCs w:val="21"/>
              </w:rPr>
              <w:t>9</w:t>
            </w:r>
          </w:p>
        </w:tc>
        <w:tc>
          <w:tcPr>
            <w:tcW w:w="2734" w:type="pct"/>
            <w:vAlign w:val="center"/>
          </w:tcPr>
          <w:p>
            <w:pPr>
              <w:pStyle w:val="112"/>
              <w:jc w:val="left"/>
              <w:rPr>
                <w:rFonts w:hint="eastAsia" w:ascii="宋体" w:hAnsi="宋体" w:eastAsia="宋体" w:cs="宋体"/>
                <w:sz w:val="21"/>
                <w:szCs w:val="21"/>
              </w:rPr>
            </w:pPr>
            <w:r>
              <w:rPr>
                <w:rFonts w:hint="eastAsia" w:ascii="宋体" w:hAnsi="宋体" w:eastAsia="宋体" w:cs="宋体"/>
                <w:sz w:val="21"/>
                <w:szCs w:val="21"/>
              </w:rPr>
              <w:t>除尘器收集的粉尘回用于生产；沉淀池</w:t>
            </w:r>
            <w:r>
              <w:rPr>
                <w:rFonts w:hint="eastAsia" w:ascii="宋体" w:hAnsi="宋体" w:eastAsia="宋体" w:cs="宋体"/>
                <w:sz w:val="21"/>
                <w:szCs w:val="21"/>
                <w:lang w:val="en-US" w:eastAsia="zh-CN"/>
              </w:rPr>
              <w:t>底泥</w:t>
            </w:r>
            <w:r>
              <w:rPr>
                <w:rFonts w:hint="eastAsia" w:ascii="宋体" w:hAnsi="宋体" w:eastAsia="宋体" w:cs="宋体"/>
                <w:sz w:val="21"/>
                <w:szCs w:val="21"/>
              </w:rPr>
              <w:t>定期清掏后回用于生产，不合格产品、试验废块集中收集后回用于生产。生活垃及分类收集，由环卫部门清运处理。</w:t>
            </w:r>
          </w:p>
        </w:tc>
        <w:tc>
          <w:tcPr>
            <w:tcW w:w="1842" w:type="pct"/>
            <w:vAlign w:val="center"/>
          </w:tcPr>
          <w:p>
            <w:pPr>
              <w:pStyle w:val="112"/>
              <w:rPr>
                <w:rFonts w:hint="default" w:ascii="宋体" w:hAnsi="宋体" w:eastAsia="宋体" w:cs="宋体"/>
                <w:spacing w:val="6"/>
                <w:sz w:val="21"/>
                <w:szCs w:val="21"/>
                <w:lang w:val="en-US" w:eastAsia="zh-CN"/>
              </w:rPr>
            </w:pPr>
            <w:r>
              <w:rPr>
                <w:rFonts w:hint="eastAsia" w:ascii="宋体" w:hAnsi="宋体" w:eastAsia="宋体" w:cs="宋体"/>
                <w:spacing w:val="6"/>
                <w:sz w:val="21"/>
                <w:szCs w:val="21"/>
              </w:rPr>
              <w:t>已落实，</w:t>
            </w:r>
            <w:r>
              <w:rPr>
                <w:rFonts w:hint="eastAsia" w:ascii="宋体" w:hAnsi="宋体" w:eastAsia="宋体" w:cs="宋体"/>
                <w:sz w:val="21"/>
                <w:szCs w:val="21"/>
              </w:rPr>
              <w:t>项目生活垃圾分类收集</w:t>
            </w:r>
            <w:r>
              <w:rPr>
                <w:rFonts w:hint="eastAsia" w:ascii="宋体" w:hAnsi="宋体" w:cs="宋体"/>
                <w:sz w:val="21"/>
                <w:szCs w:val="21"/>
                <w:lang w:eastAsia="zh-CN"/>
              </w:rPr>
              <w:t>，</w:t>
            </w:r>
            <w:r>
              <w:rPr>
                <w:rFonts w:hint="eastAsia" w:ascii="宋体" w:hAnsi="宋体" w:eastAsia="宋体" w:cs="宋体"/>
                <w:sz w:val="21"/>
                <w:szCs w:val="21"/>
              </w:rPr>
              <w:t>定期由环卫部门清理处置；不合格品、试验废块、除尘灰、沉淀池沉渣须统一收集后回用于生产</w:t>
            </w: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424" w:type="pct"/>
            <w:vAlign w:val="center"/>
          </w:tcPr>
          <w:p>
            <w:pPr>
              <w:pStyle w:val="112"/>
              <w:rPr>
                <w:rFonts w:hint="eastAsia" w:ascii="宋体" w:hAnsi="宋体" w:eastAsia="宋体" w:cs="宋体"/>
                <w:spacing w:val="6"/>
                <w:sz w:val="21"/>
                <w:szCs w:val="21"/>
              </w:rPr>
            </w:pPr>
            <w:r>
              <w:rPr>
                <w:rFonts w:hint="eastAsia" w:ascii="宋体" w:hAnsi="宋体" w:eastAsia="宋体" w:cs="宋体"/>
                <w:spacing w:val="6"/>
                <w:sz w:val="21"/>
                <w:szCs w:val="21"/>
              </w:rPr>
              <w:t>10</w:t>
            </w:r>
          </w:p>
        </w:tc>
        <w:tc>
          <w:tcPr>
            <w:tcW w:w="2734" w:type="pct"/>
            <w:vAlign w:val="center"/>
          </w:tcPr>
          <w:p>
            <w:pPr>
              <w:pStyle w:val="112"/>
              <w:jc w:val="left"/>
              <w:rPr>
                <w:rFonts w:hint="eastAsia" w:ascii="宋体" w:hAnsi="宋体" w:eastAsia="宋体" w:cs="宋体"/>
                <w:sz w:val="21"/>
                <w:szCs w:val="21"/>
              </w:rPr>
            </w:pPr>
            <w:r>
              <w:rPr>
                <w:rFonts w:hint="eastAsia" w:ascii="宋体" w:hAnsi="宋体" w:eastAsia="宋体" w:cs="宋体"/>
                <w:sz w:val="21"/>
                <w:szCs w:val="21"/>
              </w:rPr>
              <w:t>按要求做好路面硬化、防渗早厕、循环沉淀池等场所的防渗措施，</w:t>
            </w:r>
            <w:r>
              <w:rPr>
                <w:rFonts w:hint="eastAsia" w:ascii="宋体" w:hAnsi="宋体" w:eastAsia="宋体" w:cs="宋体"/>
                <w:sz w:val="21"/>
                <w:szCs w:val="21"/>
                <w:lang w:val="en-US" w:eastAsia="zh-CN"/>
              </w:rPr>
              <w:t>厂</w:t>
            </w:r>
            <w:r>
              <w:rPr>
                <w:rFonts w:hint="eastAsia" w:ascii="宋体" w:hAnsi="宋体" w:eastAsia="宋体" w:cs="宋体"/>
                <w:sz w:val="21"/>
                <w:szCs w:val="21"/>
              </w:rPr>
              <w:t>区道路须硬化，物料及成品须入库，装卸料工序采取苦盖等有效措施，做好洒水抑尘工作</w:t>
            </w:r>
            <w:r>
              <w:rPr>
                <w:rFonts w:hint="eastAsia" w:ascii="宋体" w:hAnsi="宋体" w:eastAsia="宋体" w:cs="宋体"/>
                <w:sz w:val="21"/>
                <w:szCs w:val="21"/>
                <w:lang w:eastAsia="zh-CN"/>
              </w:rPr>
              <w:t>。</w:t>
            </w:r>
          </w:p>
        </w:tc>
        <w:tc>
          <w:tcPr>
            <w:tcW w:w="1842" w:type="pct"/>
            <w:vAlign w:val="center"/>
          </w:tcPr>
          <w:p>
            <w:pPr>
              <w:pStyle w:val="112"/>
              <w:rPr>
                <w:rFonts w:hint="eastAsia" w:ascii="宋体" w:hAnsi="宋体" w:eastAsia="宋体" w:cs="宋体"/>
                <w:spacing w:val="6"/>
                <w:sz w:val="21"/>
                <w:szCs w:val="21"/>
              </w:rPr>
            </w:pPr>
            <w:r>
              <w:rPr>
                <w:rFonts w:hint="eastAsia" w:ascii="宋体" w:hAnsi="宋体" w:eastAsia="宋体" w:cs="宋体"/>
                <w:spacing w:val="6"/>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424" w:type="pct"/>
            <w:vAlign w:val="center"/>
          </w:tcPr>
          <w:p>
            <w:pPr>
              <w:pStyle w:val="112"/>
              <w:rPr>
                <w:rFonts w:hint="default" w:ascii="宋体" w:hAnsi="宋体" w:eastAsia="宋体" w:cs="宋体"/>
                <w:spacing w:val="6"/>
                <w:sz w:val="21"/>
                <w:szCs w:val="21"/>
                <w:lang w:val="en-US" w:eastAsia="zh-CN"/>
              </w:rPr>
            </w:pPr>
            <w:bookmarkStart w:id="48" w:name="_Toc30083338"/>
            <w:r>
              <w:rPr>
                <w:rFonts w:hint="eastAsia" w:ascii="宋体" w:hAnsi="宋体" w:cs="宋体"/>
                <w:spacing w:val="6"/>
                <w:sz w:val="21"/>
                <w:szCs w:val="21"/>
                <w:lang w:val="en-US" w:eastAsia="zh-CN"/>
              </w:rPr>
              <w:t>11</w:t>
            </w:r>
          </w:p>
        </w:tc>
        <w:tc>
          <w:tcPr>
            <w:tcW w:w="2734" w:type="pct"/>
            <w:vAlign w:val="center"/>
          </w:tcPr>
          <w:p>
            <w:pPr>
              <w:pStyle w:val="112"/>
              <w:jc w:val="left"/>
              <w:rPr>
                <w:rFonts w:hint="eastAsia" w:ascii="宋体" w:hAnsi="宋体" w:eastAsia="宋体" w:cs="宋体"/>
                <w:sz w:val="21"/>
                <w:szCs w:val="21"/>
              </w:rPr>
            </w:pPr>
            <w:r>
              <w:rPr>
                <w:rFonts w:hint="eastAsia" w:ascii="宋体" w:hAnsi="宋体" w:eastAsia="宋体" w:cs="宋体"/>
              </w:rPr>
              <w:t>按要求做好风险防范措施，确保风险事故下的环境安全。</w:t>
            </w:r>
          </w:p>
        </w:tc>
        <w:tc>
          <w:tcPr>
            <w:tcW w:w="1842" w:type="pct"/>
            <w:vAlign w:val="center"/>
          </w:tcPr>
          <w:p>
            <w:pPr>
              <w:pStyle w:val="112"/>
              <w:rPr>
                <w:rFonts w:hint="eastAsia" w:ascii="宋体" w:hAnsi="宋体" w:eastAsia="宋体" w:cs="宋体"/>
                <w:spacing w:val="6"/>
                <w:sz w:val="21"/>
                <w:szCs w:val="21"/>
              </w:rPr>
            </w:pPr>
            <w:r>
              <w:rPr>
                <w:rFonts w:hint="eastAsia" w:ascii="宋体" w:hAnsi="宋体" w:eastAsia="宋体" w:cs="宋体"/>
                <w:spacing w:val="6"/>
                <w:sz w:val="21"/>
                <w:szCs w:val="21"/>
              </w:rPr>
              <w:t>已落实</w:t>
            </w:r>
          </w:p>
        </w:tc>
      </w:tr>
      <w:bookmarkEnd w:id="47"/>
    </w:tbl>
    <w:p>
      <w:pPr>
        <w:spacing w:line="360" w:lineRule="auto"/>
        <w:ind w:firstLine="480"/>
        <w:rPr>
          <w:rFonts w:hint="eastAsia" w:ascii="宋体" w:hAnsi="宋体" w:eastAsia="宋体" w:cs="宋体"/>
          <w:color w:val="000000"/>
          <w:szCs w:val="24"/>
        </w:rPr>
        <w:sectPr>
          <w:pgSz w:w="11906" w:h="16838"/>
          <w:pgMar w:top="1440" w:right="1800" w:bottom="1440" w:left="1800" w:header="851" w:footer="850" w:gutter="0"/>
          <w:cols w:space="425" w:num="1"/>
          <w:docGrid w:type="lines" w:linePitch="312" w:charSpace="0"/>
        </w:sectPr>
      </w:pPr>
    </w:p>
    <w:p>
      <w:pPr>
        <w:pStyle w:val="4"/>
        <w:rPr>
          <w:rFonts w:hint="eastAsia" w:ascii="宋体" w:hAnsi="宋体" w:eastAsia="宋体" w:cs="宋体"/>
        </w:rPr>
      </w:pPr>
      <w:bookmarkStart w:id="49" w:name="_Toc475"/>
      <w:r>
        <w:rPr>
          <w:rFonts w:hint="eastAsia" w:ascii="宋体" w:hAnsi="宋体" w:eastAsia="宋体" w:cs="宋体"/>
        </w:rPr>
        <w:t>5、验收执行标准</w:t>
      </w:r>
      <w:bookmarkEnd w:id="48"/>
      <w:bookmarkEnd w:id="49"/>
    </w:p>
    <w:p>
      <w:pPr>
        <w:pStyle w:val="5"/>
        <w:rPr>
          <w:rFonts w:hint="eastAsia" w:ascii="宋体" w:hAnsi="宋体" w:eastAsia="宋体" w:cs="宋体"/>
        </w:rPr>
      </w:pPr>
      <w:bookmarkStart w:id="50" w:name="_Toc19951"/>
      <w:bookmarkStart w:id="51" w:name="_Toc30083339"/>
      <w:r>
        <w:rPr>
          <w:rFonts w:hint="eastAsia" w:ascii="宋体" w:hAnsi="宋体" w:eastAsia="宋体" w:cs="宋体"/>
        </w:rPr>
        <w:t>5.1污染物排放执行标准</w:t>
      </w:r>
      <w:bookmarkEnd w:id="50"/>
      <w:bookmarkEnd w:id="51"/>
    </w:p>
    <w:p>
      <w:pPr>
        <w:ind w:firstLine="480"/>
        <w:rPr>
          <w:rFonts w:hint="eastAsia" w:ascii="宋体" w:hAnsi="宋体" w:eastAsia="宋体" w:cs="宋体"/>
        </w:rPr>
      </w:pPr>
      <w:r>
        <w:rPr>
          <w:rFonts w:hint="eastAsia" w:ascii="宋体" w:hAnsi="宋体" w:eastAsia="宋体" w:cs="宋体"/>
        </w:rPr>
        <w:t>（1）废气：搅拌楼有组织废气排放执行《水泥工业大气污染物超低排放标准》（DB13/2167-2020）表1大气污染物最高允许排放浓度限值；厂界废气排放执行《水泥工业大气污染物超低排放标准》（DB13/2167-2020）表2大气污染物无组织排放限值。</w:t>
      </w:r>
    </w:p>
    <w:p>
      <w:pPr>
        <w:ind w:firstLine="480"/>
        <w:rPr>
          <w:rFonts w:hint="eastAsia" w:ascii="宋体" w:hAnsi="宋体" w:eastAsia="宋体" w:cs="宋体"/>
        </w:rPr>
      </w:pPr>
      <w:r>
        <w:rPr>
          <w:rFonts w:hint="eastAsia" w:ascii="宋体" w:hAnsi="宋体" w:eastAsia="宋体" w:cs="宋体"/>
        </w:rPr>
        <w:t>（2）废水：本技改项目无新增废水产生。厂区现有废水主要为生活污水及清洗废水。生活污水主要为职工盥洗废水，盥洗废水用于厂区泼洒抑尘，职工使用厂区防渗旱厕，旱厕定期清掏。设备清洗废水经沉淀池沉淀后循环利用不外排。</w:t>
      </w:r>
    </w:p>
    <w:p>
      <w:pPr>
        <w:ind w:firstLine="480"/>
        <w:rPr>
          <w:rFonts w:hint="eastAsia" w:ascii="宋体" w:hAnsi="宋体" w:eastAsia="宋体" w:cs="宋体"/>
        </w:rPr>
      </w:pPr>
      <w:r>
        <w:rPr>
          <w:rFonts w:hint="eastAsia" w:ascii="宋体" w:hAnsi="宋体" w:eastAsia="宋体" w:cs="宋体"/>
        </w:rPr>
        <w:t>（3）噪声：运营期厂界噪声执行《工业企业厂界环境噪声排放标准》（GB12348-2008）2类标准。</w:t>
      </w:r>
    </w:p>
    <w:p>
      <w:pPr>
        <w:ind w:firstLine="480"/>
        <w:rPr>
          <w:rFonts w:hint="eastAsia" w:ascii="宋体" w:hAnsi="宋体" w:eastAsia="宋体" w:cs="宋体"/>
        </w:rPr>
      </w:pPr>
      <w:r>
        <w:rPr>
          <w:rFonts w:hint="eastAsia" w:ascii="宋体" w:hAnsi="宋体" w:eastAsia="宋体" w:cs="宋体"/>
        </w:rPr>
        <w:t>（4）固体废物：一般固体废物执行《一般工业固体废物贮存和填埋污染控制标准》（GB 18599-2020）中要求。</w:t>
      </w:r>
    </w:p>
    <w:p>
      <w:pPr>
        <w:ind w:firstLine="480"/>
        <w:rPr>
          <w:rFonts w:hint="eastAsia" w:ascii="宋体" w:hAnsi="宋体" w:eastAsia="宋体" w:cs="宋体"/>
        </w:rPr>
      </w:pPr>
      <w:r>
        <w:rPr>
          <w:rFonts w:hint="eastAsia" w:ascii="宋体" w:hAnsi="宋体" w:eastAsia="宋体" w:cs="宋体"/>
        </w:rPr>
        <w:t>项目污染物排放执行标准见表6-1。</w:t>
      </w:r>
    </w:p>
    <w:p>
      <w:pPr>
        <w:pStyle w:val="110"/>
        <w:rPr>
          <w:rFonts w:hint="eastAsia" w:ascii="宋体" w:hAnsi="宋体" w:eastAsia="宋体" w:cs="宋体"/>
        </w:rPr>
      </w:pPr>
      <w:r>
        <w:rPr>
          <w:rFonts w:hint="eastAsia" w:ascii="宋体" w:hAnsi="宋体" w:eastAsia="宋体" w:cs="宋体"/>
        </w:rPr>
        <w:t>表6-1  项目验收评价标准一览表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06"/>
        <w:gridCol w:w="994"/>
        <w:gridCol w:w="1211"/>
        <w:gridCol w:w="1027"/>
        <w:gridCol w:w="850"/>
        <w:gridCol w:w="3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22" w:type="pct"/>
            <w:vAlign w:val="center"/>
          </w:tcPr>
          <w:p>
            <w:pPr>
              <w:pStyle w:val="112"/>
              <w:rPr>
                <w:rFonts w:hint="eastAsia" w:ascii="宋体" w:hAnsi="宋体" w:eastAsia="宋体" w:cs="宋体"/>
              </w:rPr>
            </w:pPr>
            <w:r>
              <w:rPr>
                <w:rFonts w:hint="eastAsia" w:ascii="宋体" w:hAnsi="宋体" w:eastAsia="宋体" w:cs="宋体"/>
              </w:rPr>
              <w:t>类别</w:t>
            </w:r>
          </w:p>
        </w:tc>
        <w:tc>
          <w:tcPr>
            <w:tcW w:w="594" w:type="pct"/>
            <w:vAlign w:val="center"/>
          </w:tcPr>
          <w:p>
            <w:pPr>
              <w:pStyle w:val="112"/>
              <w:rPr>
                <w:rFonts w:hint="eastAsia" w:ascii="宋体" w:hAnsi="宋体" w:eastAsia="宋体" w:cs="宋体"/>
              </w:rPr>
            </w:pPr>
            <w:r>
              <w:rPr>
                <w:rFonts w:hint="eastAsia" w:ascii="宋体" w:hAnsi="宋体" w:eastAsia="宋体" w:cs="宋体"/>
              </w:rPr>
              <w:t>污染源</w:t>
            </w:r>
          </w:p>
        </w:tc>
        <w:tc>
          <w:tcPr>
            <w:tcW w:w="724" w:type="pct"/>
            <w:vAlign w:val="center"/>
          </w:tcPr>
          <w:p>
            <w:pPr>
              <w:pStyle w:val="112"/>
              <w:rPr>
                <w:rFonts w:hint="eastAsia" w:ascii="宋体" w:hAnsi="宋体" w:eastAsia="宋体" w:cs="宋体"/>
              </w:rPr>
            </w:pPr>
            <w:r>
              <w:rPr>
                <w:rFonts w:hint="eastAsia" w:ascii="宋体" w:hAnsi="宋体" w:eastAsia="宋体" w:cs="宋体"/>
              </w:rPr>
              <w:t>项目</w:t>
            </w:r>
          </w:p>
        </w:tc>
        <w:tc>
          <w:tcPr>
            <w:tcW w:w="614" w:type="pct"/>
            <w:vAlign w:val="center"/>
          </w:tcPr>
          <w:p>
            <w:pPr>
              <w:pStyle w:val="112"/>
              <w:rPr>
                <w:rFonts w:hint="eastAsia" w:ascii="宋体" w:hAnsi="宋体" w:eastAsia="宋体" w:cs="宋体"/>
              </w:rPr>
            </w:pPr>
            <w:r>
              <w:rPr>
                <w:rFonts w:hint="eastAsia" w:ascii="宋体" w:hAnsi="宋体" w:eastAsia="宋体" w:cs="宋体"/>
              </w:rPr>
              <w:t>排放限值</w:t>
            </w:r>
          </w:p>
        </w:tc>
        <w:tc>
          <w:tcPr>
            <w:tcW w:w="508" w:type="pct"/>
            <w:vAlign w:val="center"/>
          </w:tcPr>
          <w:p>
            <w:pPr>
              <w:pStyle w:val="112"/>
              <w:rPr>
                <w:rFonts w:hint="eastAsia" w:ascii="宋体" w:hAnsi="宋体" w:eastAsia="宋体" w:cs="宋体"/>
              </w:rPr>
            </w:pPr>
            <w:r>
              <w:rPr>
                <w:rFonts w:hint="eastAsia" w:ascii="宋体" w:hAnsi="宋体" w:eastAsia="宋体" w:cs="宋体"/>
              </w:rPr>
              <w:t>单位</w:t>
            </w:r>
          </w:p>
        </w:tc>
        <w:tc>
          <w:tcPr>
            <w:tcW w:w="2136" w:type="pct"/>
            <w:vAlign w:val="center"/>
          </w:tcPr>
          <w:p>
            <w:pPr>
              <w:pStyle w:val="112"/>
              <w:rPr>
                <w:rFonts w:hint="eastAsia" w:ascii="宋体" w:hAnsi="宋体" w:eastAsia="宋体" w:cs="宋体"/>
              </w:rPr>
            </w:pPr>
            <w:r>
              <w:rPr>
                <w:rFonts w:hint="eastAsia" w:ascii="宋体" w:hAnsi="宋体" w:eastAsia="宋体" w:cs="宋体"/>
              </w:rPr>
              <w:t>标 准 来 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25" w:hRule="atLeast"/>
          <w:jc w:val="center"/>
        </w:trPr>
        <w:tc>
          <w:tcPr>
            <w:tcW w:w="422" w:type="pct"/>
            <w:vMerge w:val="restart"/>
            <w:vAlign w:val="center"/>
          </w:tcPr>
          <w:p>
            <w:pPr>
              <w:pStyle w:val="112"/>
              <w:rPr>
                <w:rFonts w:hint="eastAsia" w:ascii="宋体" w:hAnsi="宋体" w:eastAsia="宋体" w:cs="宋体"/>
              </w:rPr>
            </w:pPr>
            <w:r>
              <w:rPr>
                <w:rFonts w:hint="eastAsia" w:ascii="宋体" w:hAnsi="宋体" w:eastAsia="宋体" w:cs="宋体"/>
              </w:rPr>
              <w:t>废气</w:t>
            </w:r>
          </w:p>
        </w:tc>
        <w:tc>
          <w:tcPr>
            <w:tcW w:w="594" w:type="pct"/>
            <w:vMerge w:val="restart"/>
            <w:vAlign w:val="center"/>
          </w:tcPr>
          <w:p>
            <w:pPr>
              <w:pStyle w:val="112"/>
              <w:rPr>
                <w:rFonts w:hint="eastAsia" w:ascii="宋体" w:hAnsi="宋体" w:eastAsia="宋体" w:cs="宋体"/>
              </w:rPr>
            </w:pPr>
            <w:r>
              <w:rPr>
                <w:rFonts w:hint="eastAsia" w:ascii="宋体" w:hAnsi="宋体" w:eastAsia="宋体" w:cs="宋体"/>
              </w:rPr>
              <w:t>生产过程</w:t>
            </w:r>
          </w:p>
        </w:tc>
        <w:tc>
          <w:tcPr>
            <w:tcW w:w="724" w:type="pct"/>
            <w:vAlign w:val="center"/>
          </w:tcPr>
          <w:p>
            <w:pPr>
              <w:pStyle w:val="112"/>
              <w:rPr>
                <w:rFonts w:hint="eastAsia" w:ascii="宋体" w:hAnsi="宋体" w:eastAsia="宋体" w:cs="宋体"/>
              </w:rPr>
            </w:pPr>
            <w:r>
              <w:rPr>
                <w:rFonts w:hint="eastAsia" w:ascii="宋体" w:hAnsi="宋体" w:eastAsia="宋体" w:cs="宋体"/>
              </w:rPr>
              <w:t>颗粒物（有组织）</w:t>
            </w:r>
          </w:p>
        </w:tc>
        <w:tc>
          <w:tcPr>
            <w:tcW w:w="614" w:type="pct"/>
            <w:vAlign w:val="center"/>
          </w:tcPr>
          <w:p>
            <w:pPr>
              <w:pStyle w:val="112"/>
              <w:rPr>
                <w:rFonts w:hint="eastAsia" w:ascii="宋体" w:hAnsi="宋体" w:eastAsia="宋体" w:cs="宋体"/>
              </w:rPr>
            </w:pPr>
            <w:r>
              <w:rPr>
                <w:rFonts w:hint="eastAsia" w:ascii="宋体" w:hAnsi="宋体" w:eastAsia="宋体" w:cs="宋体"/>
              </w:rPr>
              <w:t>10</w:t>
            </w:r>
          </w:p>
        </w:tc>
        <w:tc>
          <w:tcPr>
            <w:tcW w:w="508" w:type="pct"/>
            <w:vAlign w:val="center"/>
          </w:tcPr>
          <w:p>
            <w:pPr>
              <w:pStyle w:val="112"/>
              <w:rPr>
                <w:rFonts w:hint="eastAsia" w:ascii="宋体" w:hAnsi="宋体" w:eastAsia="宋体" w:cs="宋体"/>
              </w:rPr>
            </w:pPr>
            <w:r>
              <w:rPr>
                <w:rFonts w:hint="eastAsia" w:ascii="宋体" w:hAnsi="宋体" w:eastAsia="宋体" w:cs="宋体"/>
              </w:rPr>
              <w:t>mg/m</w:t>
            </w:r>
            <w:r>
              <w:rPr>
                <w:rFonts w:hint="eastAsia" w:ascii="宋体" w:hAnsi="宋体" w:eastAsia="宋体" w:cs="宋体"/>
                <w:vertAlign w:val="superscript"/>
              </w:rPr>
              <w:t>3</w:t>
            </w:r>
          </w:p>
        </w:tc>
        <w:tc>
          <w:tcPr>
            <w:tcW w:w="2136" w:type="pct"/>
            <w:vAlign w:val="center"/>
          </w:tcPr>
          <w:p>
            <w:pPr>
              <w:pStyle w:val="112"/>
              <w:jc w:val="left"/>
              <w:rPr>
                <w:rFonts w:hint="eastAsia" w:ascii="宋体" w:hAnsi="宋体" w:eastAsia="宋体" w:cs="宋体"/>
              </w:rPr>
            </w:pPr>
            <w:r>
              <w:rPr>
                <w:rFonts w:hint="eastAsia" w:ascii="宋体" w:hAnsi="宋体" w:eastAsia="宋体" w:cs="宋体"/>
              </w:rPr>
              <w:t>《水泥工业大气污染物超低排放标准》（DB13/2167-2020）表1大气污染物最高允许排放浓度中散装水泥中转站及水泥制品生产 水泥仓及其他通风生产设备颗粒物浓度限值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6" w:hRule="atLeast"/>
          <w:jc w:val="center"/>
        </w:trPr>
        <w:tc>
          <w:tcPr>
            <w:tcW w:w="422" w:type="pct"/>
            <w:vMerge w:val="continue"/>
            <w:vAlign w:val="center"/>
          </w:tcPr>
          <w:p>
            <w:pPr>
              <w:pStyle w:val="112"/>
              <w:rPr>
                <w:rFonts w:hint="eastAsia" w:ascii="宋体" w:hAnsi="宋体" w:eastAsia="宋体" w:cs="宋体"/>
              </w:rPr>
            </w:pPr>
          </w:p>
        </w:tc>
        <w:tc>
          <w:tcPr>
            <w:tcW w:w="594" w:type="pct"/>
            <w:vMerge w:val="continue"/>
            <w:vAlign w:val="center"/>
          </w:tcPr>
          <w:p>
            <w:pPr>
              <w:pStyle w:val="112"/>
              <w:rPr>
                <w:rFonts w:hint="eastAsia" w:ascii="宋体" w:hAnsi="宋体" w:eastAsia="宋体" w:cs="宋体"/>
              </w:rPr>
            </w:pPr>
          </w:p>
        </w:tc>
        <w:tc>
          <w:tcPr>
            <w:tcW w:w="724" w:type="pct"/>
            <w:vAlign w:val="center"/>
          </w:tcPr>
          <w:p>
            <w:pPr>
              <w:pStyle w:val="112"/>
              <w:rPr>
                <w:rFonts w:hint="eastAsia" w:ascii="宋体" w:hAnsi="宋体" w:eastAsia="宋体" w:cs="宋体"/>
              </w:rPr>
            </w:pPr>
            <w:r>
              <w:rPr>
                <w:rFonts w:hint="eastAsia" w:ascii="宋体" w:hAnsi="宋体" w:eastAsia="宋体" w:cs="宋体"/>
              </w:rPr>
              <w:t>颗粒物（无组织）</w:t>
            </w:r>
          </w:p>
        </w:tc>
        <w:tc>
          <w:tcPr>
            <w:tcW w:w="614" w:type="pct"/>
            <w:vAlign w:val="center"/>
          </w:tcPr>
          <w:p>
            <w:pPr>
              <w:pStyle w:val="112"/>
              <w:rPr>
                <w:rFonts w:hint="eastAsia" w:ascii="宋体" w:hAnsi="宋体" w:eastAsia="宋体" w:cs="宋体"/>
              </w:rPr>
            </w:pPr>
            <w:r>
              <w:rPr>
                <w:rFonts w:hint="eastAsia" w:ascii="宋体" w:hAnsi="宋体" w:eastAsia="宋体" w:cs="宋体"/>
              </w:rPr>
              <w:t>0.5</w:t>
            </w:r>
          </w:p>
        </w:tc>
        <w:tc>
          <w:tcPr>
            <w:tcW w:w="508" w:type="pct"/>
            <w:vAlign w:val="center"/>
          </w:tcPr>
          <w:p>
            <w:pPr>
              <w:pStyle w:val="112"/>
              <w:rPr>
                <w:rFonts w:hint="eastAsia" w:ascii="宋体" w:hAnsi="宋体" w:eastAsia="宋体" w:cs="宋体"/>
              </w:rPr>
            </w:pPr>
            <w:r>
              <w:rPr>
                <w:rFonts w:hint="eastAsia" w:ascii="宋体" w:hAnsi="宋体" w:eastAsia="宋体" w:cs="宋体"/>
              </w:rPr>
              <w:t>mg/m</w:t>
            </w:r>
            <w:r>
              <w:rPr>
                <w:rFonts w:hint="eastAsia" w:ascii="宋体" w:hAnsi="宋体" w:eastAsia="宋体" w:cs="宋体"/>
                <w:vertAlign w:val="superscript"/>
              </w:rPr>
              <w:t>3</w:t>
            </w:r>
          </w:p>
        </w:tc>
        <w:tc>
          <w:tcPr>
            <w:tcW w:w="2136" w:type="pct"/>
            <w:vAlign w:val="center"/>
          </w:tcPr>
          <w:p>
            <w:pPr>
              <w:pStyle w:val="112"/>
              <w:jc w:val="left"/>
              <w:rPr>
                <w:rFonts w:hint="eastAsia" w:ascii="宋体" w:hAnsi="宋体" w:eastAsia="宋体" w:cs="宋体"/>
              </w:rPr>
            </w:pPr>
            <w:r>
              <w:rPr>
                <w:rFonts w:hint="eastAsia" w:ascii="宋体" w:hAnsi="宋体" w:eastAsia="宋体" w:cs="宋体"/>
              </w:rPr>
              <w:t>《水泥工业大气污染物超低排放标准》（DB13/2167-2020）表2大气污染物无组织排放限值</w:t>
            </w:r>
            <w:r>
              <w:rPr>
                <w:rFonts w:hint="eastAsia" w:ascii="宋体" w:hAnsi="宋体" w:eastAsia="宋体" w:cs="宋体"/>
                <w:bCs/>
              </w:rPr>
              <w:t>（注：此处标准值指监控点与参照点总悬浮颗粒物（TSP）1h浓度值的差值）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22" w:type="pct"/>
            <w:vMerge w:val="restart"/>
            <w:vAlign w:val="center"/>
          </w:tcPr>
          <w:p>
            <w:pPr>
              <w:pStyle w:val="112"/>
              <w:rPr>
                <w:rFonts w:hint="eastAsia" w:ascii="宋体" w:hAnsi="宋体" w:eastAsia="宋体" w:cs="宋体"/>
              </w:rPr>
            </w:pPr>
            <w:r>
              <w:rPr>
                <w:rFonts w:hint="eastAsia" w:ascii="宋体" w:hAnsi="宋体" w:eastAsia="宋体" w:cs="宋体"/>
              </w:rPr>
              <w:t>厂界噪声</w:t>
            </w:r>
          </w:p>
        </w:tc>
        <w:tc>
          <w:tcPr>
            <w:tcW w:w="594" w:type="pct"/>
            <w:vMerge w:val="restart"/>
            <w:vAlign w:val="center"/>
          </w:tcPr>
          <w:p>
            <w:pPr>
              <w:pStyle w:val="112"/>
              <w:rPr>
                <w:rFonts w:hint="eastAsia" w:ascii="宋体" w:hAnsi="宋体" w:eastAsia="宋体" w:cs="宋体"/>
              </w:rPr>
            </w:pPr>
            <w:r>
              <w:rPr>
                <w:rFonts w:hint="eastAsia" w:ascii="宋体" w:hAnsi="宋体" w:eastAsia="宋体" w:cs="宋体"/>
              </w:rPr>
              <w:t>Leq</w:t>
            </w:r>
          </w:p>
        </w:tc>
        <w:tc>
          <w:tcPr>
            <w:tcW w:w="724" w:type="pct"/>
            <w:vAlign w:val="center"/>
          </w:tcPr>
          <w:p>
            <w:pPr>
              <w:pStyle w:val="112"/>
              <w:rPr>
                <w:rFonts w:hint="eastAsia" w:ascii="宋体" w:hAnsi="宋体" w:eastAsia="宋体" w:cs="宋体"/>
              </w:rPr>
            </w:pPr>
            <w:r>
              <w:rPr>
                <w:rFonts w:hint="eastAsia" w:ascii="宋体" w:hAnsi="宋体" w:eastAsia="宋体" w:cs="宋体"/>
              </w:rPr>
              <w:t>昼间</w:t>
            </w:r>
          </w:p>
        </w:tc>
        <w:tc>
          <w:tcPr>
            <w:tcW w:w="614" w:type="pct"/>
            <w:vAlign w:val="center"/>
          </w:tcPr>
          <w:p>
            <w:pPr>
              <w:pStyle w:val="112"/>
              <w:rPr>
                <w:rFonts w:hint="eastAsia" w:ascii="宋体" w:hAnsi="宋体" w:eastAsia="宋体" w:cs="宋体"/>
              </w:rPr>
            </w:pPr>
            <w:r>
              <w:rPr>
                <w:rFonts w:hint="eastAsia" w:ascii="宋体" w:hAnsi="宋体" w:eastAsia="宋体" w:cs="宋体"/>
              </w:rPr>
              <w:t>60</w:t>
            </w:r>
          </w:p>
        </w:tc>
        <w:tc>
          <w:tcPr>
            <w:tcW w:w="508" w:type="pct"/>
            <w:vMerge w:val="restart"/>
            <w:vAlign w:val="center"/>
          </w:tcPr>
          <w:p>
            <w:pPr>
              <w:pStyle w:val="112"/>
              <w:rPr>
                <w:rFonts w:hint="eastAsia" w:ascii="宋体" w:hAnsi="宋体" w:eastAsia="宋体" w:cs="宋体"/>
              </w:rPr>
            </w:pPr>
            <w:r>
              <w:rPr>
                <w:rFonts w:hint="eastAsia" w:ascii="宋体" w:hAnsi="宋体" w:eastAsia="宋体" w:cs="宋体"/>
              </w:rPr>
              <w:t>dB（A）</w:t>
            </w:r>
          </w:p>
        </w:tc>
        <w:tc>
          <w:tcPr>
            <w:tcW w:w="2136" w:type="pct"/>
            <w:vMerge w:val="restart"/>
            <w:vAlign w:val="center"/>
          </w:tcPr>
          <w:p>
            <w:pPr>
              <w:pStyle w:val="112"/>
              <w:rPr>
                <w:rFonts w:hint="eastAsia" w:ascii="宋体" w:hAnsi="宋体" w:eastAsia="宋体" w:cs="宋体"/>
              </w:rPr>
            </w:pPr>
            <w:r>
              <w:rPr>
                <w:rFonts w:hint="eastAsia" w:ascii="宋体" w:hAnsi="宋体" w:eastAsia="宋体" w:cs="宋体"/>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jc w:val="center"/>
        </w:trPr>
        <w:tc>
          <w:tcPr>
            <w:tcW w:w="422" w:type="pct"/>
            <w:vMerge w:val="continue"/>
            <w:vAlign w:val="center"/>
          </w:tcPr>
          <w:p>
            <w:pPr>
              <w:pStyle w:val="112"/>
              <w:rPr>
                <w:rFonts w:hint="eastAsia" w:ascii="宋体" w:hAnsi="宋体" w:eastAsia="宋体" w:cs="宋体"/>
              </w:rPr>
            </w:pPr>
          </w:p>
        </w:tc>
        <w:tc>
          <w:tcPr>
            <w:tcW w:w="594" w:type="pct"/>
            <w:vMerge w:val="continue"/>
            <w:vAlign w:val="center"/>
          </w:tcPr>
          <w:p>
            <w:pPr>
              <w:pStyle w:val="112"/>
              <w:rPr>
                <w:rFonts w:hint="eastAsia" w:ascii="宋体" w:hAnsi="宋体" w:eastAsia="宋体" w:cs="宋体"/>
              </w:rPr>
            </w:pPr>
          </w:p>
        </w:tc>
        <w:tc>
          <w:tcPr>
            <w:tcW w:w="724" w:type="pct"/>
            <w:vAlign w:val="center"/>
          </w:tcPr>
          <w:p>
            <w:pPr>
              <w:pStyle w:val="112"/>
              <w:rPr>
                <w:rFonts w:hint="eastAsia" w:ascii="宋体" w:hAnsi="宋体" w:eastAsia="宋体" w:cs="宋体"/>
              </w:rPr>
            </w:pPr>
            <w:r>
              <w:rPr>
                <w:rFonts w:hint="eastAsia" w:ascii="宋体" w:hAnsi="宋体" w:eastAsia="宋体" w:cs="宋体"/>
              </w:rPr>
              <w:t>夜间</w:t>
            </w:r>
          </w:p>
        </w:tc>
        <w:tc>
          <w:tcPr>
            <w:tcW w:w="614" w:type="pct"/>
            <w:vAlign w:val="center"/>
          </w:tcPr>
          <w:p>
            <w:pPr>
              <w:pStyle w:val="112"/>
              <w:rPr>
                <w:rFonts w:hint="eastAsia" w:ascii="宋体" w:hAnsi="宋体" w:eastAsia="宋体" w:cs="宋体"/>
              </w:rPr>
            </w:pPr>
            <w:r>
              <w:rPr>
                <w:rFonts w:hint="eastAsia" w:ascii="宋体" w:hAnsi="宋体" w:eastAsia="宋体" w:cs="宋体"/>
              </w:rPr>
              <w:t>50</w:t>
            </w:r>
          </w:p>
        </w:tc>
        <w:tc>
          <w:tcPr>
            <w:tcW w:w="508" w:type="pct"/>
            <w:vMerge w:val="continue"/>
            <w:vAlign w:val="center"/>
          </w:tcPr>
          <w:p>
            <w:pPr>
              <w:pStyle w:val="112"/>
              <w:rPr>
                <w:rFonts w:hint="eastAsia" w:ascii="宋体" w:hAnsi="宋体" w:eastAsia="宋体" w:cs="宋体"/>
              </w:rPr>
            </w:pPr>
          </w:p>
        </w:tc>
        <w:tc>
          <w:tcPr>
            <w:tcW w:w="2136" w:type="pct"/>
            <w:vMerge w:val="continue"/>
            <w:vAlign w:val="center"/>
          </w:tcPr>
          <w:p>
            <w:pPr>
              <w:pStyle w:val="112"/>
              <w:rPr>
                <w:rFonts w:hint="eastAsia" w:ascii="宋体" w:hAnsi="宋体" w:eastAsia="宋体" w:cs="宋体"/>
              </w:rPr>
            </w:pPr>
          </w:p>
        </w:tc>
      </w:tr>
    </w:tbl>
    <w:p>
      <w:pPr>
        <w:pStyle w:val="5"/>
        <w:rPr>
          <w:rFonts w:hint="eastAsia" w:ascii="宋体" w:hAnsi="宋体" w:eastAsia="宋体" w:cs="宋体"/>
        </w:rPr>
      </w:pPr>
      <w:bookmarkStart w:id="52" w:name="_Toc7564"/>
      <w:bookmarkStart w:id="53" w:name="_Toc30083341"/>
      <w:r>
        <w:rPr>
          <w:rFonts w:hint="eastAsia" w:ascii="宋体" w:hAnsi="宋体" w:eastAsia="宋体" w:cs="宋体"/>
        </w:rPr>
        <w:t>5.2主要污染物总量控制指标</w:t>
      </w:r>
      <w:bookmarkEnd w:id="52"/>
      <w:bookmarkEnd w:id="53"/>
    </w:p>
    <w:p>
      <w:pPr>
        <w:ind w:firstLine="480"/>
        <w:rPr>
          <w:rFonts w:hint="eastAsia" w:ascii="宋体" w:hAnsi="宋体" w:eastAsia="宋体" w:cs="宋体"/>
        </w:rPr>
        <w:sectPr>
          <w:pgSz w:w="11906" w:h="16838"/>
          <w:pgMar w:top="1440" w:right="1800" w:bottom="1440" w:left="1800" w:header="851" w:footer="850" w:gutter="0"/>
          <w:cols w:space="425" w:num="1"/>
          <w:docGrid w:type="lines" w:linePitch="312" w:charSpace="0"/>
        </w:sectPr>
      </w:pPr>
      <w:bookmarkStart w:id="54" w:name="_Toc30083342"/>
      <w:r>
        <w:rPr>
          <w:rFonts w:hint="eastAsia" w:ascii="宋体" w:hAnsi="宋体" w:eastAsia="宋体" w:cs="宋体"/>
        </w:rPr>
        <w:t>本项目为技改项目，运营期废气污染物主要为颗粒物，经除尘措施治理后</w:t>
      </w:r>
      <w:r>
        <w:rPr>
          <w:rFonts w:hint="eastAsia" w:ascii="宋体" w:hAnsi="宋体" w:cs="宋体"/>
          <w:lang w:eastAsia="zh-CN"/>
        </w:rPr>
        <w:t>高空排放</w:t>
      </w:r>
      <w:r>
        <w:rPr>
          <w:rFonts w:hint="eastAsia" w:ascii="宋体" w:hAnsi="宋体" w:eastAsia="宋体" w:cs="宋体"/>
        </w:rPr>
        <w:t>；废水污染物主要为生活污水和清洗废水，生活污水泼洒抑尘，清洗废水循环利用。因此，本项目污染物总量指标值为COD：0t/a、氨氮：0t/a、SO</w:t>
      </w:r>
      <w:r>
        <w:rPr>
          <w:rFonts w:hint="eastAsia" w:ascii="宋体" w:hAnsi="宋体" w:eastAsia="宋体" w:cs="宋体"/>
          <w:vertAlign w:val="subscript"/>
        </w:rPr>
        <w:t>2</w:t>
      </w:r>
      <w:r>
        <w:rPr>
          <w:rFonts w:hint="eastAsia" w:ascii="宋体" w:hAnsi="宋体" w:eastAsia="宋体" w:cs="宋体"/>
        </w:rPr>
        <w:t>：0t/a、NOx：0t/a。</w:t>
      </w:r>
    </w:p>
    <w:p>
      <w:pPr>
        <w:pStyle w:val="4"/>
        <w:rPr>
          <w:rFonts w:hint="eastAsia" w:ascii="宋体" w:hAnsi="宋体" w:eastAsia="宋体" w:cs="宋体"/>
        </w:rPr>
      </w:pPr>
      <w:bookmarkStart w:id="55" w:name="_Toc12822"/>
      <w:r>
        <w:rPr>
          <w:rFonts w:hint="eastAsia" w:ascii="宋体" w:hAnsi="宋体" w:eastAsia="宋体" w:cs="宋体"/>
        </w:rPr>
        <w:t>6、</w:t>
      </w:r>
      <w:bookmarkStart w:id="56" w:name="_Toc30083346"/>
      <w:r>
        <w:rPr>
          <w:rFonts w:hint="eastAsia" w:ascii="宋体" w:hAnsi="宋体" w:eastAsia="宋体" w:cs="宋体"/>
        </w:rPr>
        <w:t>质量保证</w:t>
      </w:r>
      <w:bookmarkEnd w:id="56"/>
      <w:r>
        <w:rPr>
          <w:rFonts w:hint="eastAsia" w:ascii="宋体" w:hAnsi="宋体" w:eastAsia="宋体" w:cs="宋体"/>
        </w:rPr>
        <w:t>措施和监测分析方法</w:t>
      </w:r>
      <w:bookmarkEnd w:id="55"/>
    </w:p>
    <w:p>
      <w:pPr>
        <w:ind w:firstLine="480"/>
        <w:rPr>
          <w:rFonts w:hint="eastAsia" w:ascii="宋体" w:hAnsi="宋体" w:eastAsia="宋体" w:cs="宋体"/>
        </w:rPr>
      </w:pPr>
      <w:r>
        <w:rPr>
          <w:rFonts w:hint="eastAsia" w:ascii="宋体" w:hAnsi="宋体" w:eastAsia="宋体" w:cs="宋体"/>
        </w:rPr>
        <w:t>本项目为技改项目，已按照环评文件及审批要求安装环保设施，但由于冬季公司处于停产状态，因此污染源无法满足验收监测条件，待项目后期正常运行后，对废气及噪声进行补充监测。</w:t>
      </w:r>
    </w:p>
    <w:p>
      <w:pPr>
        <w:spacing w:line="360" w:lineRule="auto"/>
        <w:ind w:firstLine="480"/>
        <w:rPr>
          <w:rFonts w:hint="eastAsia" w:ascii="宋体" w:hAnsi="宋体" w:eastAsia="宋体" w:cs="宋体"/>
          <w:color w:val="000000"/>
          <w:kern w:val="0"/>
          <w:szCs w:val="24"/>
        </w:rPr>
        <w:sectPr>
          <w:pgSz w:w="11906" w:h="16838"/>
          <w:pgMar w:top="1440" w:right="1800" w:bottom="1440" w:left="1800" w:header="851" w:footer="850" w:gutter="0"/>
          <w:cols w:space="425" w:num="1"/>
          <w:docGrid w:type="lines" w:linePitch="312" w:charSpace="0"/>
        </w:sectPr>
      </w:pPr>
    </w:p>
    <w:bookmarkEnd w:id="54"/>
    <w:p>
      <w:pPr>
        <w:pStyle w:val="4"/>
        <w:rPr>
          <w:rFonts w:hint="eastAsia" w:ascii="宋体" w:hAnsi="宋体" w:eastAsia="宋体" w:cs="宋体"/>
        </w:rPr>
      </w:pPr>
      <w:bookmarkStart w:id="57" w:name="_Toc30083352"/>
      <w:bookmarkStart w:id="58" w:name="_Toc19851"/>
      <w:r>
        <w:rPr>
          <w:rFonts w:hint="eastAsia" w:ascii="宋体" w:hAnsi="宋体" w:eastAsia="宋体" w:cs="宋体"/>
        </w:rPr>
        <w:t>7、验收检测结果</w:t>
      </w:r>
      <w:bookmarkEnd w:id="57"/>
      <w:r>
        <w:rPr>
          <w:rFonts w:hint="eastAsia" w:ascii="宋体" w:hAnsi="宋体" w:eastAsia="宋体" w:cs="宋体"/>
        </w:rPr>
        <w:t>及分析</w:t>
      </w:r>
      <w:bookmarkEnd w:id="58"/>
    </w:p>
    <w:p>
      <w:pPr>
        <w:pStyle w:val="5"/>
        <w:rPr>
          <w:rFonts w:hint="eastAsia" w:ascii="宋体" w:hAnsi="宋体" w:eastAsia="宋体" w:cs="宋体"/>
        </w:rPr>
      </w:pPr>
      <w:bookmarkStart w:id="59" w:name="_Toc1636"/>
      <w:r>
        <w:rPr>
          <w:rFonts w:hint="eastAsia" w:ascii="宋体" w:hAnsi="宋体" w:eastAsia="宋体" w:cs="宋体"/>
        </w:rPr>
        <w:t>7.1污染物排放检测结果</w:t>
      </w:r>
      <w:bookmarkEnd w:id="59"/>
    </w:p>
    <w:p>
      <w:pPr>
        <w:ind w:firstLine="480"/>
        <w:rPr>
          <w:rFonts w:hint="eastAsia" w:ascii="宋体" w:hAnsi="宋体" w:eastAsia="宋体" w:cs="宋体"/>
          <w:highlight w:val="yellow"/>
        </w:rPr>
      </w:pPr>
      <w:r>
        <w:rPr>
          <w:rFonts w:hint="eastAsia" w:ascii="宋体" w:hAnsi="宋体" w:eastAsia="宋体" w:cs="宋体"/>
        </w:rPr>
        <w:t>本项目为技改项目，已按照环评文件及审批要求安装环保设施，但由于冬季公司处于停产状态，因此污染源无法满足验收监测条件，待项目后期正常运行后，对废气及噪声进行补充监测。</w:t>
      </w:r>
    </w:p>
    <w:p>
      <w:pPr>
        <w:pStyle w:val="5"/>
        <w:rPr>
          <w:rFonts w:hint="eastAsia" w:ascii="宋体" w:hAnsi="宋体" w:eastAsia="宋体" w:cs="宋体"/>
        </w:rPr>
      </w:pPr>
      <w:bookmarkStart w:id="60" w:name="_Toc14049"/>
      <w:r>
        <w:rPr>
          <w:rFonts w:hint="eastAsia" w:ascii="宋体" w:hAnsi="宋体" w:eastAsia="宋体" w:cs="宋体"/>
        </w:rPr>
        <w:t>7.2污染物排放总量核算</w:t>
      </w:r>
      <w:bookmarkEnd w:id="60"/>
    </w:p>
    <w:p>
      <w:pPr>
        <w:ind w:firstLine="480"/>
        <w:rPr>
          <w:rFonts w:hint="eastAsia" w:ascii="宋体" w:hAnsi="宋体" w:eastAsia="宋体" w:cs="宋体"/>
        </w:rPr>
        <w:sectPr>
          <w:pgSz w:w="11906" w:h="16838"/>
          <w:pgMar w:top="1440" w:right="1800" w:bottom="1440" w:left="1800" w:header="851" w:footer="850" w:gutter="0"/>
          <w:cols w:space="425" w:num="1"/>
          <w:docGrid w:type="lines" w:linePitch="312" w:charSpace="0"/>
        </w:sectPr>
      </w:pPr>
      <w:r>
        <w:rPr>
          <w:rFonts w:hint="eastAsia" w:ascii="宋体" w:hAnsi="宋体" w:eastAsia="宋体" w:cs="宋体"/>
        </w:rPr>
        <w:t>本项目总量指标值为COD：0t/a、氨氮：0t/a、SO</w:t>
      </w:r>
      <w:r>
        <w:rPr>
          <w:rFonts w:hint="eastAsia" w:ascii="宋体" w:hAnsi="宋体" w:eastAsia="宋体" w:cs="宋体"/>
          <w:vertAlign w:val="subscript"/>
        </w:rPr>
        <w:t>2</w:t>
      </w:r>
      <w:r>
        <w:rPr>
          <w:rFonts w:hint="eastAsia" w:ascii="宋体" w:hAnsi="宋体" w:eastAsia="宋体" w:cs="宋体"/>
        </w:rPr>
        <w:t>：0t/a、NOx：0t/a。</w:t>
      </w:r>
    </w:p>
    <w:p>
      <w:pPr>
        <w:pStyle w:val="4"/>
        <w:rPr>
          <w:rFonts w:hint="eastAsia" w:ascii="宋体" w:hAnsi="宋体" w:eastAsia="宋体" w:cs="宋体"/>
        </w:rPr>
      </w:pPr>
      <w:bookmarkStart w:id="61" w:name="_Toc8999899"/>
      <w:bookmarkStart w:id="62" w:name="_Toc24123"/>
      <w:r>
        <w:rPr>
          <w:rFonts w:hint="eastAsia" w:ascii="宋体" w:hAnsi="宋体" w:eastAsia="宋体" w:cs="宋体"/>
        </w:rPr>
        <w:t>8、环境管理检查</w:t>
      </w:r>
      <w:bookmarkEnd w:id="61"/>
      <w:bookmarkEnd w:id="62"/>
    </w:p>
    <w:p>
      <w:pPr>
        <w:pStyle w:val="5"/>
        <w:rPr>
          <w:rFonts w:hint="eastAsia" w:ascii="宋体" w:hAnsi="宋体" w:eastAsia="宋体" w:cs="宋体"/>
        </w:rPr>
      </w:pPr>
      <w:bookmarkStart w:id="63" w:name="_Toc499559252"/>
      <w:bookmarkStart w:id="64" w:name="_Toc534699358"/>
      <w:bookmarkStart w:id="65" w:name="_Toc8165"/>
      <w:bookmarkStart w:id="66" w:name="_Toc533060858"/>
      <w:bookmarkStart w:id="67" w:name="_Toc8999900"/>
      <w:bookmarkStart w:id="68" w:name="_Toc8925"/>
      <w:r>
        <w:rPr>
          <w:rFonts w:hint="eastAsia" w:ascii="宋体" w:hAnsi="宋体" w:eastAsia="宋体" w:cs="宋体"/>
        </w:rPr>
        <w:t>8.1环保管理机构</w:t>
      </w:r>
      <w:bookmarkEnd w:id="63"/>
      <w:bookmarkEnd w:id="64"/>
      <w:bookmarkEnd w:id="65"/>
      <w:bookmarkEnd w:id="66"/>
      <w:bookmarkEnd w:id="67"/>
      <w:bookmarkEnd w:id="68"/>
    </w:p>
    <w:p>
      <w:pPr>
        <w:ind w:firstLine="480"/>
        <w:rPr>
          <w:rFonts w:hint="eastAsia" w:ascii="宋体" w:hAnsi="宋体" w:eastAsia="宋体" w:cs="宋体"/>
        </w:rPr>
      </w:pPr>
      <w:r>
        <w:rPr>
          <w:rFonts w:hint="eastAsia" w:ascii="宋体" w:hAnsi="宋体" w:cs="宋体"/>
          <w:lang w:eastAsia="zh-CN"/>
        </w:rPr>
        <w:t>河北友联建筑材料股份有限公司</w:t>
      </w:r>
      <w:r>
        <w:rPr>
          <w:rFonts w:hint="eastAsia" w:ascii="宋体" w:hAnsi="宋体" w:eastAsia="宋体" w:cs="宋体"/>
        </w:rPr>
        <w:t>由专人负责日常环境管理工作，定期巡检环境影响情况，环保设施运行情况，及时处理环境问题，并进行有关环境保护法律法规宣传工作。</w:t>
      </w:r>
    </w:p>
    <w:p>
      <w:pPr>
        <w:pStyle w:val="5"/>
        <w:rPr>
          <w:rFonts w:hint="eastAsia" w:ascii="宋体" w:hAnsi="宋体" w:eastAsia="宋体" w:cs="宋体"/>
        </w:rPr>
      </w:pPr>
      <w:bookmarkStart w:id="69" w:name="_Toc414220602"/>
      <w:bookmarkStart w:id="70" w:name="_Toc412705196"/>
      <w:bookmarkStart w:id="71" w:name="_Toc499559253"/>
      <w:bookmarkStart w:id="72" w:name="_Toc8999901"/>
      <w:bookmarkStart w:id="73" w:name="_Toc19761"/>
      <w:bookmarkStart w:id="74" w:name="_Toc20373"/>
      <w:bookmarkStart w:id="75" w:name="_Toc533060859"/>
      <w:bookmarkStart w:id="76" w:name="_Toc534699359"/>
      <w:bookmarkStart w:id="77" w:name="_Toc414220604"/>
      <w:bookmarkStart w:id="78" w:name="_Toc412705199"/>
      <w:r>
        <w:rPr>
          <w:rFonts w:hint="eastAsia" w:ascii="宋体" w:hAnsi="宋体" w:eastAsia="宋体" w:cs="宋体"/>
        </w:rPr>
        <w:t>8.2</w:t>
      </w:r>
      <w:bookmarkEnd w:id="69"/>
      <w:bookmarkEnd w:id="70"/>
      <w:bookmarkEnd w:id="71"/>
      <w:r>
        <w:rPr>
          <w:rFonts w:hint="eastAsia" w:ascii="宋体" w:hAnsi="宋体" w:eastAsia="宋体" w:cs="宋体"/>
        </w:rPr>
        <w:t>施工期环境管理</w:t>
      </w:r>
      <w:bookmarkEnd w:id="72"/>
      <w:bookmarkEnd w:id="73"/>
      <w:bookmarkEnd w:id="74"/>
      <w:bookmarkEnd w:id="75"/>
      <w:bookmarkEnd w:id="76"/>
    </w:p>
    <w:p>
      <w:pPr>
        <w:ind w:firstLine="480"/>
        <w:rPr>
          <w:rFonts w:hint="eastAsia" w:ascii="宋体" w:hAnsi="宋体" w:eastAsia="宋体" w:cs="宋体"/>
        </w:rPr>
      </w:pPr>
      <w:bookmarkStart w:id="79" w:name="_Toc499559254"/>
      <w:bookmarkStart w:id="80" w:name="_Toc16840"/>
      <w:bookmarkStart w:id="81" w:name="_Toc534699360"/>
      <w:bookmarkStart w:id="82" w:name="_Toc533060860"/>
      <w:r>
        <w:rPr>
          <w:rFonts w:hint="eastAsia" w:ascii="宋体" w:hAnsi="宋体" w:eastAsia="宋体" w:cs="宋体"/>
        </w:rPr>
        <w:t>建设项目施工期对周围环境的影响主要为建筑施工和物料运输过程产生的扬尘、施工噪声、施工期生活污水及施工时产生的固体废物等。通过采取有效治理措施，并合理安排施工时间等以减轻项目建设期对周边环境的影响。施工过程已经结束，影响消失，对周边环境影响已不存在。</w:t>
      </w:r>
    </w:p>
    <w:p>
      <w:pPr>
        <w:pStyle w:val="5"/>
        <w:rPr>
          <w:rFonts w:hint="eastAsia" w:ascii="宋体" w:hAnsi="宋体" w:eastAsia="宋体" w:cs="宋体"/>
        </w:rPr>
      </w:pPr>
      <w:bookmarkStart w:id="83" w:name="_Toc25122"/>
      <w:bookmarkStart w:id="84" w:name="_Toc8999902"/>
      <w:r>
        <w:rPr>
          <w:rFonts w:hint="eastAsia" w:ascii="宋体" w:hAnsi="宋体" w:eastAsia="宋体" w:cs="宋体"/>
        </w:rPr>
        <w:t>8.3</w:t>
      </w:r>
      <w:bookmarkEnd w:id="77"/>
      <w:bookmarkEnd w:id="78"/>
      <w:bookmarkEnd w:id="79"/>
      <w:r>
        <w:rPr>
          <w:rFonts w:hint="eastAsia" w:ascii="宋体" w:hAnsi="宋体" w:eastAsia="宋体" w:cs="宋体"/>
        </w:rPr>
        <w:t>运行期环境管理</w:t>
      </w:r>
      <w:bookmarkEnd w:id="80"/>
      <w:bookmarkEnd w:id="81"/>
      <w:bookmarkEnd w:id="82"/>
      <w:bookmarkEnd w:id="83"/>
      <w:bookmarkEnd w:id="84"/>
    </w:p>
    <w:p>
      <w:pPr>
        <w:ind w:firstLine="480"/>
        <w:rPr>
          <w:rFonts w:hint="eastAsia" w:ascii="宋体" w:hAnsi="宋体" w:eastAsia="宋体" w:cs="宋体"/>
        </w:rPr>
      </w:pPr>
      <w:r>
        <w:rPr>
          <w:rFonts w:hint="eastAsia" w:ascii="宋体" w:hAnsi="宋体" w:eastAsia="宋体" w:cs="宋体"/>
        </w:rPr>
        <w:t>建设单位制定了相应的环境管理制度，并且正常履行了试运行期的环境职责，环保设施已安装完毕，但由于冬季公司处于停产状态，因此污染源无法满足验收监测条件，待项目后期正常运行后，对废气及噪声进行补充监测。</w:t>
      </w:r>
    </w:p>
    <w:p>
      <w:pPr>
        <w:pStyle w:val="5"/>
        <w:rPr>
          <w:rFonts w:hint="eastAsia" w:ascii="宋体" w:hAnsi="宋体" w:eastAsia="宋体" w:cs="宋体"/>
        </w:rPr>
      </w:pPr>
      <w:bookmarkStart w:id="85" w:name="_Toc534699361"/>
      <w:bookmarkStart w:id="86" w:name="_Toc12738"/>
      <w:bookmarkStart w:id="87" w:name="_Toc8999903"/>
      <w:bookmarkStart w:id="88" w:name="_Toc1102"/>
      <w:bookmarkStart w:id="89" w:name="_Toc533060861"/>
      <w:r>
        <w:rPr>
          <w:rFonts w:hint="eastAsia" w:ascii="宋体" w:hAnsi="宋体" w:eastAsia="宋体" w:cs="宋体"/>
        </w:rPr>
        <w:t>8.4社会环境影响情况调查</w:t>
      </w:r>
      <w:bookmarkEnd w:id="85"/>
      <w:bookmarkEnd w:id="86"/>
      <w:bookmarkEnd w:id="87"/>
      <w:bookmarkEnd w:id="88"/>
      <w:bookmarkEnd w:id="89"/>
    </w:p>
    <w:p>
      <w:pPr>
        <w:ind w:firstLine="480"/>
        <w:rPr>
          <w:rFonts w:hint="eastAsia" w:ascii="宋体" w:hAnsi="宋体" w:eastAsia="宋体" w:cs="宋体"/>
        </w:rPr>
      </w:pPr>
      <w:r>
        <w:rPr>
          <w:rFonts w:hint="eastAsia" w:ascii="宋体" w:hAnsi="宋体" w:eastAsia="宋体" w:cs="宋体"/>
        </w:rPr>
        <w:t>经咨询环保主管部门，项目试运行期间未发生扰民和公众投诉意见。</w:t>
      </w:r>
    </w:p>
    <w:p>
      <w:pPr>
        <w:pStyle w:val="5"/>
        <w:rPr>
          <w:rFonts w:hint="eastAsia" w:ascii="宋体" w:hAnsi="宋体" w:eastAsia="宋体" w:cs="宋体"/>
        </w:rPr>
      </w:pPr>
      <w:bookmarkStart w:id="90" w:name="_Toc10427"/>
      <w:bookmarkStart w:id="91" w:name="_Toc10957"/>
      <w:bookmarkStart w:id="92" w:name="_Toc24197"/>
      <w:bookmarkStart w:id="93" w:name="_Toc534699362"/>
      <w:bookmarkStart w:id="94" w:name="_Toc533060862"/>
      <w:bookmarkStart w:id="95" w:name="_Toc8999904"/>
      <w:bookmarkStart w:id="96" w:name="_Toc26218"/>
      <w:r>
        <w:rPr>
          <w:rFonts w:hint="eastAsia" w:ascii="宋体" w:hAnsi="宋体" w:eastAsia="宋体" w:cs="宋体"/>
        </w:rPr>
        <w:t>8.5环境管理情况分析</w:t>
      </w:r>
      <w:bookmarkEnd w:id="90"/>
      <w:bookmarkEnd w:id="91"/>
      <w:bookmarkEnd w:id="92"/>
      <w:bookmarkEnd w:id="93"/>
      <w:bookmarkEnd w:id="94"/>
      <w:bookmarkEnd w:id="95"/>
      <w:bookmarkEnd w:id="96"/>
    </w:p>
    <w:p>
      <w:pPr>
        <w:ind w:firstLine="480"/>
        <w:rPr>
          <w:rFonts w:hint="eastAsia" w:ascii="宋体" w:hAnsi="宋体" w:eastAsia="宋体" w:cs="宋体"/>
          <w:sz w:val="20"/>
          <w:szCs w:val="24"/>
        </w:rPr>
        <w:sectPr>
          <w:pgSz w:w="11906" w:h="16838"/>
          <w:pgMar w:top="1440" w:right="1800" w:bottom="1440" w:left="1800" w:header="851" w:footer="850" w:gutter="0"/>
          <w:cols w:space="425" w:num="1"/>
          <w:docGrid w:type="lines" w:linePitch="312" w:charSpace="0"/>
        </w:sectPr>
      </w:pPr>
      <w:r>
        <w:rPr>
          <w:rFonts w:hint="eastAsia" w:ascii="宋体" w:hAnsi="宋体" w:eastAsia="宋体" w:cs="宋体"/>
        </w:rPr>
        <w:t>建设项目施工期已按照环评及审批要求采取了施工期污染防治措施，运营期完善了相应的环境管理制度，并且正常履行了试运行期的环境职责，环保设施已安装完毕，</w:t>
      </w:r>
      <w:r>
        <w:rPr>
          <w:rFonts w:hint="eastAsia" w:ascii="宋体" w:hAnsi="宋体" w:eastAsia="宋体" w:cs="宋体"/>
          <w:bCs/>
        </w:rPr>
        <w:t>但由于冬季公司处于停产状态，因此污染源无法满足验收监测条件，待项目后期正常运行后，对废气及噪声进行补充监测。</w:t>
      </w:r>
    </w:p>
    <w:p>
      <w:pPr>
        <w:pStyle w:val="4"/>
        <w:rPr>
          <w:rFonts w:hint="eastAsia" w:ascii="宋体" w:hAnsi="宋体" w:eastAsia="宋体" w:cs="宋体"/>
        </w:rPr>
      </w:pPr>
      <w:bookmarkStart w:id="97" w:name="_Toc30083356"/>
      <w:bookmarkStart w:id="98" w:name="_Toc7861"/>
      <w:bookmarkStart w:id="99" w:name="_Toc506142672"/>
      <w:r>
        <w:rPr>
          <w:rFonts w:hint="eastAsia" w:ascii="宋体" w:hAnsi="宋体" w:eastAsia="宋体" w:cs="宋体"/>
        </w:rPr>
        <w:t>9、</w:t>
      </w:r>
      <w:bookmarkEnd w:id="97"/>
      <w:r>
        <w:rPr>
          <w:rFonts w:hint="eastAsia" w:ascii="宋体" w:hAnsi="宋体" w:eastAsia="宋体" w:cs="宋体"/>
        </w:rPr>
        <w:t>结论和建议</w:t>
      </w:r>
      <w:bookmarkEnd w:id="98"/>
    </w:p>
    <w:bookmarkEnd w:id="99"/>
    <w:p>
      <w:pPr>
        <w:pStyle w:val="5"/>
        <w:rPr>
          <w:rFonts w:hint="eastAsia" w:ascii="宋体" w:hAnsi="宋体" w:eastAsia="宋体" w:cs="宋体"/>
        </w:rPr>
      </w:pPr>
      <w:bookmarkStart w:id="100" w:name="_Toc18116"/>
      <w:r>
        <w:rPr>
          <w:rFonts w:hint="eastAsia" w:ascii="宋体" w:hAnsi="宋体" w:eastAsia="宋体" w:cs="宋体"/>
        </w:rPr>
        <w:t>9.1项目验收结论</w:t>
      </w:r>
      <w:bookmarkEnd w:id="100"/>
    </w:p>
    <w:p>
      <w:pPr>
        <w:pStyle w:val="6"/>
        <w:rPr>
          <w:rFonts w:hint="eastAsia" w:ascii="宋体" w:hAnsi="宋体" w:eastAsia="宋体" w:cs="宋体"/>
        </w:rPr>
      </w:pPr>
      <w:r>
        <w:rPr>
          <w:rFonts w:hint="eastAsia" w:ascii="宋体" w:hAnsi="宋体" w:eastAsia="宋体" w:cs="宋体"/>
        </w:rPr>
        <w:t>9.1.1项目概况</w:t>
      </w:r>
    </w:p>
    <w:p>
      <w:pPr>
        <w:ind w:firstLine="480"/>
        <w:rPr>
          <w:rFonts w:hint="eastAsia" w:ascii="宋体" w:hAnsi="宋体" w:eastAsia="宋体" w:cs="宋体"/>
          <w:lang w:eastAsia="zh-CN"/>
        </w:rPr>
      </w:pPr>
      <w:r>
        <w:rPr>
          <w:rFonts w:hint="eastAsia" w:ascii="宋体" w:hAnsi="宋体" w:eastAsia="宋体" w:cs="宋体"/>
        </w:rPr>
        <w:t>项目名称：</w:t>
      </w:r>
      <w:r>
        <w:rPr>
          <w:rFonts w:hint="eastAsia" w:ascii="宋体" w:hAnsi="宋体" w:cs="宋体"/>
          <w:lang w:eastAsia="zh-CN"/>
        </w:rPr>
        <w:t>河北友联建筑材料股份有限公司环保设施改造提升项目</w:t>
      </w:r>
    </w:p>
    <w:p>
      <w:pPr>
        <w:ind w:firstLine="480"/>
        <w:rPr>
          <w:rFonts w:hint="eastAsia" w:ascii="宋体" w:hAnsi="宋体" w:eastAsia="宋体" w:cs="宋体"/>
          <w:lang w:eastAsia="zh-CN"/>
        </w:rPr>
      </w:pPr>
      <w:r>
        <w:rPr>
          <w:rFonts w:hint="eastAsia" w:ascii="宋体" w:hAnsi="宋体" w:eastAsia="宋体" w:cs="宋体"/>
        </w:rPr>
        <w:t>建设单位：</w:t>
      </w:r>
      <w:r>
        <w:rPr>
          <w:rFonts w:hint="eastAsia" w:ascii="宋体" w:hAnsi="宋体" w:cs="宋体"/>
          <w:lang w:eastAsia="zh-CN"/>
        </w:rPr>
        <w:t>河北友联建筑材料股份有限公司</w:t>
      </w:r>
    </w:p>
    <w:p>
      <w:pPr>
        <w:ind w:firstLine="480"/>
        <w:rPr>
          <w:rFonts w:hint="eastAsia" w:ascii="宋体" w:hAnsi="宋体" w:eastAsia="宋体" w:cs="宋体"/>
        </w:rPr>
      </w:pPr>
      <w:r>
        <w:rPr>
          <w:rFonts w:hint="eastAsia" w:ascii="宋体" w:hAnsi="宋体" w:eastAsia="宋体" w:cs="宋体"/>
        </w:rPr>
        <w:t>建设性质：技改</w:t>
      </w:r>
    </w:p>
    <w:p>
      <w:pPr>
        <w:ind w:firstLine="480"/>
        <w:rPr>
          <w:rFonts w:hint="eastAsia" w:ascii="宋体" w:hAnsi="宋体" w:eastAsia="宋体" w:cs="宋体"/>
        </w:rPr>
      </w:pPr>
      <w:r>
        <w:rPr>
          <w:rFonts w:hint="eastAsia" w:ascii="宋体" w:hAnsi="宋体" w:eastAsia="宋体" w:cs="宋体"/>
        </w:rPr>
        <w:t>工程投资：项目总投资</w:t>
      </w:r>
      <w:r>
        <w:rPr>
          <w:rFonts w:hint="eastAsia" w:ascii="宋体" w:hAnsi="宋体" w:cs="宋体"/>
          <w:lang w:eastAsia="zh-CN"/>
        </w:rPr>
        <w:t>100万元</w:t>
      </w:r>
      <w:r>
        <w:rPr>
          <w:rFonts w:hint="eastAsia" w:ascii="宋体" w:hAnsi="宋体" w:eastAsia="宋体" w:cs="宋体"/>
        </w:rPr>
        <w:t>，其中环保投资</w:t>
      </w:r>
      <w:r>
        <w:rPr>
          <w:rFonts w:hint="eastAsia" w:ascii="宋体" w:hAnsi="宋体" w:cs="宋体"/>
          <w:lang w:val="en-US" w:eastAsia="zh-CN"/>
        </w:rPr>
        <w:t>100万元</w:t>
      </w:r>
      <w:r>
        <w:rPr>
          <w:rFonts w:hint="eastAsia" w:ascii="宋体" w:hAnsi="宋体" w:eastAsia="宋体" w:cs="宋体"/>
        </w:rPr>
        <w:t>，环保投资占总投资比例为</w:t>
      </w:r>
      <w:r>
        <w:rPr>
          <w:rFonts w:hint="eastAsia" w:ascii="宋体" w:hAnsi="宋体" w:cs="宋体"/>
          <w:lang w:val="en-US" w:eastAsia="zh-CN"/>
        </w:rPr>
        <w:t>100%</w:t>
      </w:r>
      <w:r>
        <w:rPr>
          <w:rFonts w:hint="eastAsia" w:ascii="宋体" w:hAnsi="宋体" w:eastAsia="宋体" w:cs="宋体"/>
        </w:rPr>
        <w:t>。</w:t>
      </w:r>
    </w:p>
    <w:p>
      <w:pPr>
        <w:ind w:firstLine="480"/>
        <w:rPr>
          <w:rFonts w:hint="eastAsia" w:ascii="宋体" w:hAnsi="宋体" w:eastAsia="宋体" w:cs="宋体"/>
        </w:rPr>
      </w:pPr>
      <w:r>
        <w:rPr>
          <w:rFonts w:hint="eastAsia" w:ascii="宋体" w:hAnsi="宋体" w:eastAsia="宋体" w:cs="宋体"/>
        </w:rPr>
        <w:t>建设地点：建设项目位于</w:t>
      </w:r>
      <w:r>
        <w:rPr>
          <w:rFonts w:hint="eastAsia" w:ascii="宋体" w:hAnsi="宋体" w:cs="宋体"/>
          <w:lang w:eastAsia="zh-CN"/>
        </w:rPr>
        <w:t>赤城县赤城镇孙家庄村</w:t>
      </w:r>
      <w:r>
        <w:rPr>
          <w:rFonts w:hint="eastAsia" w:ascii="宋体" w:hAnsi="宋体" w:eastAsia="宋体" w:cs="宋体"/>
        </w:rPr>
        <w:t>。</w:t>
      </w:r>
    </w:p>
    <w:p>
      <w:pPr>
        <w:ind w:firstLine="480"/>
        <w:rPr>
          <w:rFonts w:hint="eastAsia" w:ascii="宋体" w:hAnsi="宋体" w:eastAsia="宋体" w:cs="宋体"/>
        </w:rPr>
      </w:pPr>
      <w:r>
        <w:rPr>
          <w:rFonts w:hint="eastAsia" w:ascii="宋体" w:hAnsi="宋体" w:eastAsia="宋体" w:cs="宋体"/>
        </w:rPr>
        <w:t>建设内容及建设规模：</w:t>
      </w:r>
      <w:r>
        <w:rPr>
          <w:rFonts w:hint="eastAsia" w:ascii="宋体" w:hAnsi="宋体" w:cs="宋体"/>
          <w:lang w:val="en-US" w:eastAsia="zh-CN"/>
        </w:rPr>
        <w:t>设置在线环保监测系统一套，更换洒水车，更换车辆喷淋设备一套，硬化道路和院面，更换除尘设施等</w:t>
      </w:r>
      <w:r>
        <w:rPr>
          <w:rFonts w:hint="eastAsia" w:ascii="宋体" w:hAnsi="宋体" w:eastAsia="宋体" w:cs="宋体"/>
        </w:rPr>
        <w:t>，项目建成后</w:t>
      </w:r>
      <w:r>
        <w:rPr>
          <w:rFonts w:hint="eastAsia" w:ascii="宋体" w:hAnsi="宋体" w:eastAsia="宋体" w:cs="宋体"/>
          <w:lang w:val="en-US" w:eastAsia="zh-CN"/>
        </w:rPr>
        <w:t>生产规模为</w:t>
      </w:r>
      <w:r>
        <w:rPr>
          <w:rFonts w:hint="eastAsia" w:ascii="宋体" w:hAnsi="宋体" w:cs="宋体"/>
          <w:lang w:val="en-US" w:eastAsia="zh-CN"/>
        </w:rPr>
        <w:t>年产商品混凝土6万立方米，年产预拌干粉砂浆35万吨。</w:t>
      </w:r>
    </w:p>
    <w:p>
      <w:pPr>
        <w:pStyle w:val="6"/>
        <w:rPr>
          <w:rFonts w:hint="eastAsia" w:ascii="宋体" w:hAnsi="宋体" w:eastAsia="宋体" w:cs="宋体"/>
        </w:rPr>
      </w:pPr>
      <w:bookmarkStart w:id="101" w:name="_Toc30083358"/>
      <w:r>
        <w:rPr>
          <w:rFonts w:hint="eastAsia" w:ascii="宋体" w:hAnsi="宋体" w:eastAsia="宋体" w:cs="宋体"/>
        </w:rPr>
        <w:t>9.1.2项目验收结论</w:t>
      </w:r>
      <w:bookmarkEnd w:id="101"/>
    </w:p>
    <w:p>
      <w:pPr>
        <w:ind w:firstLine="480"/>
        <w:rPr>
          <w:rFonts w:hint="eastAsia" w:ascii="宋体" w:hAnsi="宋体" w:eastAsia="宋体" w:cs="宋体"/>
        </w:rPr>
      </w:pPr>
      <w:bookmarkStart w:id="102" w:name="_Toc506142673"/>
      <w:r>
        <w:rPr>
          <w:rFonts w:hint="eastAsia" w:ascii="宋体" w:hAnsi="宋体" w:cs="宋体"/>
          <w:lang w:eastAsia="zh-CN"/>
        </w:rPr>
        <w:t>河北友联建筑材料股份有限公司环保设施改造提升项目</w:t>
      </w:r>
      <w:r>
        <w:rPr>
          <w:rFonts w:hint="eastAsia" w:ascii="宋体" w:hAnsi="宋体" w:eastAsia="宋体" w:cs="宋体"/>
        </w:rPr>
        <w:t>在施工期和试运行期执行了环境保护“三同时”制度，落实了该项目环境影响评价报告表和环保主管部门的批复要求。根据该项目施工期环境影响调查结果，该项目对施工期间产生的废气、废水、噪声及固体废物均采取了相应的处理及处置措施，对周围环境影响较小。试运行期间通过对项目现场检查发现项目已按照环评报告及审批意见要求完善相关环保设施，</w:t>
      </w:r>
      <w:r>
        <w:rPr>
          <w:rFonts w:hint="eastAsia" w:ascii="宋体" w:hAnsi="宋体" w:eastAsia="宋体" w:cs="宋体"/>
          <w:bCs/>
        </w:rPr>
        <w:t>项目筒仓呼吸粉尘经筒仓顶部除尘设施处理后</w:t>
      </w:r>
      <w:r>
        <w:rPr>
          <w:rFonts w:hint="eastAsia" w:ascii="宋体" w:hAnsi="宋体" w:cs="宋体"/>
          <w:bCs/>
          <w:lang w:eastAsia="zh-CN"/>
        </w:rPr>
        <w:t>通过15米高排放口高空排放</w:t>
      </w:r>
      <w:r>
        <w:rPr>
          <w:rFonts w:hint="eastAsia" w:ascii="宋体" w:hAnsi="宋体" w:eastAsia="宋体" w:cs="宋体"/>
          <w:bCs/>
        </w:rPr>
        <w:t>；搅拌楼搅拌粉尘经袋式除尘器处理后</w:t>
      </w:r>
      <w:r>
        <w:rPr>
          <w:rFonts w:hint="eastAsia" w:ascii="宋体" w:hAnsi="宋体" w:cs="宋体"/>
          <w:bCs/>
          <w:lang w:val="en-US" w:eastAsia="zh-CN"/>
        </w:rPr>
        <w:t>通过15米高排气筒高空排放</w:t>
      </w:r>
      <w:r>
        <w:rPr>
          <w:rFonts w:hint="eastAsia" w:ascii="宋体" w:hAnsi="宋体" w:eastAsia="宋体" w:cs="宋体"/>
          <w:bCs/>
        </w:rPr>
        <w:t>；砂石料库采用封闭式库房，并配有喷淋设施洒水降尘；厂区地面硬化，采取定时清扫洒水措施降低厂区地面及道路运输过程中产生的扬尘；盥洗废水用于厂区泼洒抑尘，职工使用厂区防渗旱厕，旱厕定期清掏。设备清洗废水经沉淀池沉淀后循环利用不外排。</w:t>
      </w:r>
      <w:r>
        <w:rPr>
          <w:rFonts w:hint="eastAsia" w:ascii="宋体" w:hAnsi="宋体" w:eastAsia="宋体" w:cs="宋体"/>
        </w:rPr>
        <w:t>项目采取隔声、减震、距离衰减等降噪措施；项目除尘器收集的粉尘回用于生产；废混凝土试块</w:t>
      </w:r>
      <w:r>
        <w:rPr>
          <w:rFonts w:hint="eastAsia" w:ascii="宋体" w:hAnsi="宋体" w:cs="宋体"/>
          <w:lang w:eastAsia="zh-CN"/>
        </w:rPr>
        <w:t>、</w:t>
      </w:r>
      <w:r>
        <w:rPr>
          <w:rFonts w:hint="eastAsia" w:ascii="宋体" w:hAnsi="宋体" w:eastAsia="宋体" w:cs="宋体"/>
        </w:rPr>
        <w:t>沉淀池沉淀砂石经收集后回用于生产；生活垃圾由环卫部门清运处理</w:t>
      </w:r>
      <w:bookmarkStart w:id="104" w:name="_GoBack"/>
      <w:bookmarkEnd w:id="104"/>
      <w:r>
        <w:rPr>
          <w:rFonts w:hint="eastAsia" w:ascii="宋体" w:hAnsi="宋体" w:eastAsia="宋体" w:cs="宋体"/>
        </w:rPr>
        <w:t>。</w:t>
      </w:r>
    </w:p>
    <w:p>
      <w:pPr>
        <w:ind w:firstLine="480"/>
        <w:rPr>
          <w:rFonts w:hint="eastAsia" w:ascii="宋体" w:hAnsi="宋体" w:eastAsia="宋体" w:cs="宋体"/>
        </w:rPr>
      </w:pPr>
      <w:r>
        <w:rPr>
          <w:rFonts w:hint="eastAsia" w:ascii="宋体" w:hAnsi="宋体" w:eastAsia="宋体" w:cs="宋体"/>
        </w:rPr>
        <w:t>按照生态环境部关于建设项目竣工环境保护验收的有关规定，该项目具备工程竣工环境保护验收条件。</w:t>
      </w:r>
    </w:p>
    <w:p>
      <w:pPr>
        <w:ind w:firstLine="480"/>
        <w:rPr>
          <w:rFonts w:hint="eastAsia" w:ascii="宋体" w:hAnsi="宋体" w:eastAsia="宋体" w:cs="宋体"/>
        </w:rPr>
      </w:pPr>
      <w:r>
        <w:rPr>
          <w:rFonts w:hint="eastAsia" w:ascii="宋体" w:hAnsi="宋体" w:eastAsia="宋体" w:cs="宋体"/>
        </w:rPr>
        <w:t>综上所述，同意</w:t>
      </w:r>
      <w:r>
        <w:rPr>
          <w:rFonts w:hint="eastAsia" w:ascii="宋体" w:hAnsi="宋体" w:cs="宋体"/>
          <w:lang w:eastAsia="zh-CN"/>
        </w:rPr>
        <w:t>河北友联建筑材料股份有限公司环保设施改造提升项目</w:t>
      </w:r>
      <w:r>
        <w:rPr>
          <w:rFonts w:hint="eastAsia" w:ascii="宋体" w:hAnsi="宋体" w:eastAsia="宋体" w:cs="宋体"/>
        </w:rPr>
        <w:t>通过竣工环境保护验收。</w:t>
      </w:r>
    </w:p>
    <w:bookmarkEnd w:id="102"/>
    <w:p>
      <w:pPr>
        <w:pStyle w:val="5"/>
        <w:rPr>
          <w:rFonts w:hint="eastAsia" w:ascii="宋体" w:hAnsi="宋体" w:eastAsia="宋体" w:cs="宋体"/>
        </w:rPr>
      </w:pPr>
      <w:bookmarkStart w:id="103" w:name="_Toc8341"/>
      <w:r>
        <w:rPr>
          <w:rFonts w:hint="eastAsia" w:ascii="宋体" w:hAnsi="宋体" w:eastAsia="宋体" w:cs="宋体"/>
        </w:rPr>
        <w:t>9.2建议</w:t>
      </w:r>
      <w:bookmarkEnd w:id="103"/>
    </w:p>
    <w:p>
      <w:pPr>
        <w:ind w:firstLine="480"/>
        <w:rPr>
          <w:rFonts w:hint="eastAsia" w:ascii="宋体" w:hAnsi="宋体" w:eastAsia="宋体" w:cs="宋体"/>
        </w:rPr>
      </w:pPr>
      <w:r>
        <w:rPr>
          <w:rFonts w:hint="eastAsia" w:ascii="宋体" w:hAnsi="宋体" w:eastAsia="宋体" w:cs="宋体"/>
        </w:rPr>
        <w:t>（1）完善各项管理制度，确保各项污染治理设施稳定运行。</w:t>
      </w:r>
    </w:p>
    <w:p>
      <w:pPr>
        <w:ind w:firstLine="480"/>
        <w:rPr>
          <w:rFonts w:hint="eastAsia" w:ascii="宋体" w:hAnsi="宋体" w:eastAsia="宋体" w:cs="宋体"/>
        </w:rPr>
      </w:pPr>
      <w:r>
        <w:rPr>
          <w:rFonts w:hint="eastAsia" w:ascii="宋体" w:hAnsi="宋体" w:eastAsia="宋体" w:cs="宋体"/>
        </w:rPr>
        <w:t>（2）待项目后期正常运行后，对废气及噪声污染源进行补充监测。</w:t>
      </w:r>
    </w:p>
    <w:sectPr>
      <w:headerReference r:id="rId15" w:type="first"/>
      <w:footerReference r:id="rId17" w:type="first"/>
      <w:headerReference r:id="rId13" w:type="default"/>
      <w:headerReference r:id="rId14" w:type="even"/>
      <w:footerReference r:id="rId16" w:type="even"/>
      <w:pgSz w:w="11906" w:h="16838"/>
      <w:pgMar w:top="1440" w:right="1797" w:bottom="1440" w:left="1797"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仿宋_GB2312">
    <w:altName w:val="仿宋"/>
    <w:panose1 w:val="00000000000000000000"/>
    <w:charset w:val="86"/>
    <w:family w:val="modern"/>
    <w:pitch w:val="default"/>
    <w:sig w:usb0="00000000" w:usb1="00000000" w:usb2="00000010" w:usb3="00000000" w:csb0="00040000" w:csb1="00000000"/>
  </w:font>
  <w:font w:name="仿宋体">
    <w:altName w:val="仿宋"/>
    <w:panose1 w:val="00000000000000000000"/>
    <w:charset w:val="86"/>
    <w:family w:val="swiss"/>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p>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r>
      <w:c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8605437"/>
      <w:docPartObj>
        <w:docPartGallery w:val="autotext"/>
      </w:docPartObj>
    </w:sdtPr>
    <w:sdtContent>
      <w:p>
        <w:pPr>
          <w:pStyle w:val="21"/>
          <w:ind w:firstLine="360"/>
          <w:jc w:val="center"/>
        </w:pPr>
        <w:r>
          <w:fldChar w:fldCharType="begin"/>
        </w:r>
        <w:r>
          <w:instrText xml:space="preserve">PAGE   \* MERGEFORMAT</w:instrText>
        </w:r>
        <w:r>
          <w:fldChar w:fldCharType="separate"/>
        </w:r>
        <w:r>
          <w:rPr>
            <w:lang w:val="zh-CN"/>
          </w:rPr>
          <w:t>19</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left="6000"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8209DF"/>
    <w:multiLevelType w:val="multilevel"/>
    <w:tmpl w:val="1B8209DF"/>
    <w:lvl w:ilvl="0" w:tentative="0">
      <w:start w:val="1"/>
      <w:numFmt w:val="decimal"/>
      <w:pStyle w:val="124"/>
      <w:lvlText w:val="%1."/>
      <w:lvlJc w:val="left"/>
      <w:pPr>
        <w:tabs>
          <w:tab w:val="left" w:pos="0"/>
        </w:tabs>
        <w:ind w:left="0" w:firstLine="0"/>
      </w:pPr>
      <w:rPr>
        <w:rFonts w:hint="default" w:ascii="Times New Roman" w:hAnsi="Times New Roman" w:cs="Times New Roman"/>
        <w:b w:val="0"/>
      </w:rPr>
    </w:lvl>
    <w:lvl w:ilvl="1" w:tentative="0">
      <w:start w:val="1"/>
      <w:numFmt w:val="decimal"/>
      <w:lvlText w:val="%1.%2."/>
      <w:lvlJc w:val="left"/>
      <w:pPr>
        <w:tabs>
          <w:tab w:val="left" w:pos="0"/>
        </w:tabs>
        <w:ind w:left="0" w:firstLine="0"/>
      </w:pPr>
      <w:rPr>
        <w:rFonts w:hint="eastAsia" w:ascii="Times New Roman" w:hAnsi="Times New Roman" w:cs="Times New Roman"/>
        <w:b w:val="0"/>
        <w:bCs w:val="0"/>
        <w:i w:val="0"/>
        <w:iCs w:val="0"/>
        <w:caps w:val="0"/>
        <w:smallCaps w:val="0"/>
        <w:strike w:val="0"/>
        <w:dstrike w:val="0"/>
        <w:vanish w:val="0"/>
        <w:color w:val="000000"/>
        <w:position w:val="0"/>
        <w:u w:val="none"/>
        <w:vertAlign w:val="baseline"/>
        <w14:shadow w14:blurRad="0" w14:dist="0" w14:dir="0" w14:sx="0" w14:sy="0" w14:kx="0" w14:ky="0" w14:algn="none">
          <w14:srgbClr w14:val="000000"/>
        </w14:shadow>
      </w:rPr>
    </w:lvl>
    <w:lvl w:ilvl="2" w:tentative="0">
      <w:start w:val="1"/>
      <w:numFmt w:val="decimal"/>
      <w:pStyle w:val="125"/>
      <w:lvlText w:val="%1.%2.%3."/>
      <w:lvlJc w:val="left"/>
      <w:pPr>
        <w:tabs>
          <w:tab w:val="left" w:pos="284"/>
        </w:tabs>
        <w:ind w:left="284" w:firstLine="0"/>
      </w:pPr>
      <w:rPr>
        <w:rFonts w:hint="default" w:ascii="Times New Roman" w:hAnsi="Times New Roman" w:eastAsia="宋体" w:cs="Times New Roman"/>
        <w:b w:val="0"/>
        <w:i w:val="0"/>
        <w:sz w:val="25"/>
      </w:rPr>
    </w:lvl>
    <w:lvl w:ilvl="3" w:tentative="0">
      <w:start w:val="1"/>
      <w:numFmt w:val="decimal"/>
      <w:lvlText w:val="%1.%2.%3.%4."/>
      <w:lvlJc w:val="left"/>
      <w:pPr>
        <w:tabs>
          <w:tab w:val="left" w:pos="1051"/>
        </w:tabs>
        <w:ind w:left="1051" w:hanging="851"/>
      </w:pPr>
      <w:rPr>
        <w:rFonts w:hint="eastAsia"/>
      </w:rPr>
    </w:lvl>
    <w:lvl w:ilvl="4" w:tentative="0">
      <w:start w:val="1"/>
      <w:numFmt w:val="decimal"/>
      <w:lvlText w:val="%1.%2.%3.%4.%5."/>
      <w:lvlJc w:val="left"/>
      <w:pPr>
        <w:tabs>
          <w:tab w:val="left" w:pos="1192"/>
        </w:tabs>
        <w:ind w:left="1192" w:hanging="992"/>
      </w:pPr>
      <w:rPr>
        <w:rFonts w:hint="eastAsia"/>
      </w:rPr>
    </w:lvl>
    <w:lvl w:ilvl="5" w:tentative="0">
      <w:start w:val="1"/>
      <w:numFmt w:val="decimal"/>
      <w:lvlText w:val="%1.%2.%3.%4.%5.%6."/>
      <w:lvlJc w:val="left"/>
      <w:pPr>
        <w:tabs>
          <w:tab w:val="left" w:pos="1334"/>
        </w:tabs>
        <w:ind w:left="1334" w:hanging="1134"/>
      </w:pPr>
      <w:rPr>
        <w:rFonts w:hint="eastAsia"/>
      </w:rPr>
    </w:lvl>
    <w:lvl w:ilvl="6" w:tentative="0">
      <w:start w:val="1"/>
      <w:numFmt w:val="decimal"/>
      <w:lvlText w:val="%1.%2.%3.%4.%5.%6.%7."/>
      <w:lvlJc w:val="left"/>
      <w:pPr>
        <w:tabs>
          <w:tab w:val="left" w:pos="1476"/>
        </w:tabs>
        <w:ind w:left="1476" w:hanging="1276"/>
      </w:pPr>
      <w:rPr>
        <w:rFonts w:hint="eastAsia"/>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isplayBackgroundShape w:val="1"/>
  <w:embedSystemFonts/>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IxMDMwNThhNTc0OWNlOTVjYzNmNGE1MTg1YzEzYjMifQ=="/>
  </w:docVars>
  <w:rsids>
    <w:rsidRoot w:val="F1670022"/>
    <w:rsid w:val="00000831"/>
    <w:rsid w:val="00000963"/>
    <w:rsid w:val="00000D97"/>
    <w:rsid w:val="00003C6A"/>
    <w:rsid w:val="00004495"/>
    <w:rsid w:val="00004B2A"/>
    <w:rsid w:val="00004BC4"/>
    <w:rsid w:val="0000798F"/>
    <w:rsid w:val="00007B94"/>
    <w:rsid w:val="0001025A"/>
    <w:rsid w:val="000104C9"/>
    <w:rsid w:val="000142D7"/>
    <w:rsid w:val="000155A5"/>
    <w:rsid w:val="000158D3"/>
    <w:rsid w:val="00015AEA"/>
    <w:rsid w:val="00016B09"/>
    <w:rsid w:val="000177D9"/>
    <w:rsid w:val="00017B1D"/>
    <w:rsid w:val="00020222"/>
    <w:rsid w:val="0002169A"/>
    <w:rsid w:val="00025869"/>
    <w:rsid w:val="00027308"/>
    <w:rsid w:val="000306CD"/>
    <w:rsid w:val="00031494"/>
    <w:rsid w:val="000339C9"/>
    <w:rsid w:val="00034A32"/>
    <w:rsid w:val="00035354"/>
    <w:rsid w:val="0003580C"/>
    <w:rsid w:val="0003637D"/>
    <w:rsid w:val="00036D8D"/>
    <w:rsid w:val="000372DB"/>
    <w:rsid w:val="000411E8"/>
    <w:rsid w:val="00042875"/>
    <w:rsid w:val="000437D4"/>
    <w:rsid w:val="00043C10"/>
    <w:rsid w:val="00044B53"/>
    <w:rsid w:val="0004575D"/>
    <w:rsid w:val="000470D8"/>
    <w:rsid w:val="0004753D"/>
    <w:rsid w:val="0004754D"/>
    <w:rsid w:val="00050932"/>
    <w:rsid w:val="00050A42"/>
    <w:rsid w:val="00050DC6"/>
    <w:rsid w:val="00052623"/>
    <w:rsid w:val="0005273A"/>
    <w:rsid w:val="00052802"/>
    <w:rsid w:val="00052CA4"/>
    <w:rsid w:val="0005329C"/>
    <w:rsid w:val="000544F7"/>
    <w:rsid w:val="00054C06"/>
    <w:rsid w:val="00055594"/>
    <w:rsid w:val="000557E5"/>
    <w:rsid w:val="00056557"/>
    <w:rsid w:val="00065575"/>
    <w:rsid w:val="0006576B"/>
    <w:rsid w:val="00066397"/>
    <w:rsid w:val="00071929"/>
    <w:rsid w:val="00071A53"/>
    <w:rsid w:val="00072212"/>
    <w:rsid w:val="0007251F"/>
    <w:rsid w:val="0007293F"/>
    <w:rsid w:val="00072C63"/>
    <w:rsid w:val="000749C7"/>
    <w:rsid w:val="00076203"/>
    <w:rsid w:val="00076AC4"/>
    <w:rsid w:val="00080176"/>
    <w:rsid w:val="000802E2"/>
    <w:rsid w:val="0008102F"/>
    <w:rsid w:val="0008183F"/>
    <w:rsid w:val="000825FE"/>
    <w:rsid w:val="00082F68"/>
    <w:rsid w:val="00084D12"/>
    <w:rsid w:val="00084F26"/>
    <w:rsid w:val="00085A70"/>
    <w:rsid w:val="000863CF"/>
    <w:rsid w:val="0008697D"/>
    <w:rsid w:val="00086EA7"/>
    <w:rsid w:val="0008748D"/>
    <w:rsid w:val="00090436"/>
    <w:rsid w:val="000936F7"/>
    <w:rsid w:val="000937A6"/>
    <w:rsid w:val="00094209"/>
    <w:rsid w:val="00094DD7"/>
    <w:rsid w:val="00095622"/>
    <w:rsid w:val="00095F1D"/>
    <w:rsid w:val="000A0D11"/>
    <w:rsid w:val="000A2922"/>
    <w:rsid w:val="000A2A4E"/>
    <w:rsid w:val="000A2E25"/>
    <w:rsid w:val="000A31A8"/>
    <w:rsid w:val="000A468B"/>
    <w:rsid w:val="000A4F51"/>
    <w:rsid w:val="000A590C"/>
    <w:rsid w:val="000A6B6A"/>
    <w:rsid w:val="000A711C"/>
    <w:rsid w:val="000A7196"/>
    <w:rsid w:val="000B0AF8"/>
    <w:rsid w:val="000B3798"/>
    <w:rsid w:val="000B3CF1"/>
    <w:rsid w:val="000B3FFA"/>
    <w:rsid w:val="000B45C7"/>
    <w:rsid w:val="000B4845"/>
    <w:rsid w:val="000B4F1F"/>
    <w:rsid w:val="000B51ED"/>
    <w:rsid w:val="000B5954"/>
    <w:rsid w:val="000B5C18"/>
    <w:rsid w:val="000B6425"/>
    <w:rsid w:val="000B6DAE"/>
    <w:rsid w:val="000B6EEC"/>
    <w:rsid w:val="000C13BD"/>
    <w:rsid w:val="000C157A"/>
    <w:rsid w:val="000C2FAE"/>
    <w:rsid w:val="000C3221"/>
    <w:rsid w:val="000C3751"/>
    <w:rsid w:val="000C6183"/>
    <w:rsid w:val="000C6741"/>
    <w:rsid w:val="000C73CE"/>
    <w:rsid w:val="000C76BE"/>
    <w:rsid w:val="000D044C"/>
    <w:rsid w:val="000D0D15"/>
    <w:rsid w:val="000D30BD"/>
    <w:rsid w:val="000D4037"/>
    <w:rsid w:val="000D4427"/>
    <w:rsid w:val="000D54FD"/>
    <w:rsid w:val="000D7BD5"/>
    <w:rsid w:val="000E051F"/>
    <w:rsid w:val="000E07EC"/>
    <w:rsid w:val="000E0A95"/>
    <w:rsid w:val="000E0AD0"/>
    <w:rsid w:val="000E3CCA"/>
    <w:rsid w:val="000E41AD"/>
    <w:rsid w:val="000E43BD"/>
    <w:rsid w:val="000E4F61"/>
    <w:rsid w:val="000E5E22"/>
    <w:rsid w:val="000F09C1"/>
    <w:rsid w:val="000F1925"/>
    <w:rsid w:val="000F337D"/>
    <w:rsid w:val="000F37DA"/>
    <w:rsid w:val="000F478C"/>
    <w:rsid w:val="000F4F0C"/>
    <w:rsid w:val="000F5EF2"/>
    <w:rsid w:val="000F6FF9"/>
    <w:rsid w:val="000F7A72"/>
    <w:rsid w:val="001007C9"/>
    <w:rsid w:val="00100B87"/>
    <w:rsid w:val="001019E8"/>
    <w:rsid w:val="00101B76"/>
    <w:rsid w:val="00102618"/>
    <w:rsid w:val="001032BB"/>
    <w:rsid w:val="0010403F"/>
    <w:rsid w:val="0010462B"/>
    <w:rsid w:val="00106213"/>
    <w:rsid w:val="00106C3F"/>
    <w:rsid w:val="00106DFF"/>
    <w:rsid w:val="00111A3C"/>
    <w:rsid w:val="00111FEB"/>
    <w:rsid w:val="00113ADC"/>
    <w:rsid w:val="00115569"/>
    <w:rsid w:val="00115F09"/>
    <w:rsid w:val="0011611B"/>
    <w:rsid w:val="0011637F"/>
    <w:rsid w:val="00116BBA"/>
    <w:rsid w:val="00117096"/>
    <w:rsid w:val="00117E4A"/>
    <w:rsid w:val="00120803"/>
    <w:rsid w:val="00120D26"/>
    <w:rsid w:val="001218A8"/>
    <w:rsid w:val="00125F5F"/>
    <w:rsid w:val="001278CE"/>
    <w:rsid w:val="00131E24"/>
    <w:rsid w:val="001333FA"/>
    <w:rsid w:val="00133EFA"/>
    <w:rsid w:val="00140806"/>
    <w:rsid w:val="00141013"/>
    <w:rsid w:val="0014190B"/>
    <w:rsid w:val="001424DF"/>
    <w:rsid w:val="001424E9"/>
    <w:rsid w:val="00142D5E"/>
    <w:rsid w:val="001432E3"/>
    <w:rsid w:val="00143F5C"/>
    <w:rsid w:val="00144368"/>
    <w:rsid w:val="001449BF"/>
    <w:rsid w:val="00145B8B"/>
    <w:rsid w:val="00145DB5"/>
    <w:rsid w:val="00150C3D"/>
    <w:rsid w:val="00150E23"/>
    <w:rsid w:val="00151010"/>
    <w:rsid w:val="0015133D"/>
    <w:rsid w:val="00152457"/>
    <w:rsid w:val="001528D3"/>
    <w:rsid w:val="001534F3"/>
    <w:rsid w:val="00153C24"/>
    <w:rsid w:val="00153D88"/>
    <w:rsid w:val="00153E00"/>
    <w:rsid w:val="00155E89"/>
    <w:rsid w:val="00155F79"/>
    <w:rsid w:val="00156653"/>
    <w:rsid w:val="00156ECA"/>
    <w:rsid w:val="001579C0"/>
    <w:rsid w:val="00160B04"/>
    <w:rsid w:val="0016182F"/>
    <w:rsid w:val="001618EA"/>
    <w:rsid w:val="00162C29"/>
    <w:rsid w:val="00162D5D"/>
    <w:rsid w:val="00165210"/>
    <w:rsid w:val="00165BBC"/>
    <w:rsid w:val="0016739B"/>
    <w:rsid w:val="001676D3"/>
    <w:rsid w:val="00167898"/>
    <w:rsid w:val="00167926"/>
    <w:rsid w:val="00171156"/>
    <w:rsid w:val="00171FFC"/>
    <w:rsid w:val="001725AA"/>
    <w:rsid w:val="001733D7"/>
    <w:rsid w:val="001743C2"/>
    <w:rsid w:val="00175629"/>
    <w:rsid w:val="00175BE5"/>
    <w:rsid w:val="001767AE"/>
    <w:rsid w:val="001776B7"/>
    <w:rsid w:val="001778B7"/>
    <w:rsid w:val="00177CFC"/>
    <w:rsid w:val="00177E8A"/>
    <w:rsid w:val="0018084E"/>
    <w:rsid w:val="00180EE6"/>
    <w:rsid w:val="00181AA8"/>
    <w:rsid w:val="0018343A"/>
    <w:rsid w:val="00183911"/>
    <w:rsid w:val="00184447"/>
    <w:rsid w:val="00184BE0"/>
    <w:rsid w:val="001869DE"/>
    <w:rsid w:val="00186EFF"/>
    <w:rsid w:val="001875F0"/>
    <w:rsid w:val="00190665"/>
    <w:rsid w:val="0019267F"/>
    <w:rsid w:val="00192854"/>
    <w:rsid w:val="00192E10"/>
    <w:rsid w:val="00192E4E"/>
    <w:rsid w:val="00193205"/>
    <w:rsid w:val="00194EE0"/>
    <w:rsid w:val="0019546C"/>
    <w:rsid w:val="00196D3B"/>
    <w:rsid w:val="001A1E02"/>
    <w:rsid w:val="001A1E54"/>
    <w:rsid w:val="001A5701"/>
    <w:rsid w:val="001A6179"/>
    <w:rsid w:val="001A6ED8"/>
    <w:rsid w:val="001A6F13"/>
    <w:rsid w:val="001A7C42"/>
    <w:rsid w:val="001A7EE2"/>
    <w:rsid w:val="001B03BD"/>
    <w:rsid w:val="001B0535"/>
    <w:rsid w:val="001B1E6D"/>
    <w:rsid w:val="001B224F"/>
    <w:rsid w:val="001B2B0D"/>
    <w:rsid w:val="001B3157"/>
    <w:rsid w:val="001B3525"/>
    <w:rsid w:val="001B3EC6"/>
    <w:rsid w:val="001B4A2F"/>
    <w:rsid w:val="001B537A"/>
    <w:rsid w:val="001B54C0"/>
    <w:rsid w:val="001B6D1B"/>
    <w:rsid w:val="001B7DB9"/>
    <w:rsid w:val="001C06A3"/>
    <w:rsid w:val="001C1BAD"/>
    <w:rsid w:val="001C300E"/>
    <w:rsid w:val="001C35EA"/>
    <w:rsid w:val="001C3AA2"/>
    <w:rsid w:val="001C3AEE"/>
    <w:rsid w:val="001C4686"/>
    <w:rsid w:val="001C4A4B"/>
    <w:rsid w:val="001C5EFF"/>
    <w:rsid w:val="001C6174"/>
    <w:rsid w:val="001D0569"/>
    <w:rsid w:val="001D13DF"/>
    <w:rsid w:val="001D228F"/>
    <w:rsid w:val="001D38BE"/>
    <w:rsid w:val="001D38FC"/>
    <w:rsid w:val="001D4024"/>
    <w:rsid w:val="001D4CE4"/>
    <w:rsid w:val="001D50AB"/>
    <w:rsid w:val="001D7BC4"/>
    <w:rsid w:val="001E0C3E"/>
    <w:rsid w:val="001E1587"/>
    <w:rsid w:val="001E1E5E"/>
    <w:rsid w:val="001E24CC"/>
    <w:rsid w:val="001E3AA8"/>
    <w:rsid w:val="001E4644"/>
    <w:rsid w:val="001E650A"/>
    <w:rsid w:val="001E6F48"/>
    <w:rsid w:val="001F0F9A"/>
    <w:rsid w:val="001F2375"/>
    <w:rsid w:val="001F2467"/>
    <w:rsid w:val="001F4813"/>
    <w:rsid w:val="001F4FB5"/>
    <w:rsid w:val="001F5E48"/>
    <w:rsid w:val="001F708F"/>
    <w:rsid w:val="001F7A29"/>
    <w:rsid w:val="001F7C48"/>
    <w:rsid w:val="00201B89"/>
    <w:rsid w:val="0020312E"/>
    <w:rsid w:val="00205427"/>
    <w:rsid w:val="002059F9"/>
    <w:rsid w:val="002077D7"/>
    <w:rsid w:val="00207AD4"/>
    <w:rsid w:val="00207DF0"/>
    <w:rsid w:val="00210E52"/>
    <w:rsid w:val="00211FCE"/>
    <w:rsid w:val="00212C45"/>
    <w:rsid w:val="00213D7A"/>
    <w:rsid w:val="00213FCD"/>
    <w:rsid w:val="00214B79"/>
    <w:rsid w:val="00214D6B"/>
    <w:rsid w:val="00215269"/>
    <w:rsid w:val="00216D87"/>
    <w:rsid w:val="00220C5E"/>
    <w:rsid w:val="00220DAD"/>
    <w:rsid w:val="00221493"/>
    <w:rsid w:val="00221DC9"/>
    <w:rsid w:val="00222D26"/>
    <w:rsid w:val="0022305D"/>
    <w:rsid w:val="00223525"/>
    <w:rsid w:val="00223B4D"/>
    <w:rsid w:val="00223B88"/>
    <w:rsid w:val="00223EDE"/>
    <w:rsid w:val="00225A2D"/>
    <w:rsid w:val="0022656E"/>
    <w:rsid w:val="0022762A"/>
    <w:rsid w:val="0023062F"/>
    <w:rsid w:val="002339BC"/>
    <w:rsid w:val="00233A8A"/>
    <w:rsid w:val="00234967"/>
    <w:rsid w:val="00234B2C"/>
    <w:rsid w:val="0023500E"/>
    <w:rsid w:val="002356D4"/>
    <w:rsid w:val="002365B9"/>
    <w:rsid w:val="00237A46"/>
    <w:rsid w:val="00240088"/>
    <w:rsid w:val="00240273"/>
    <w:rsid w:val="00241CAC"/>
    <w:rsid w:val="0024217B"/>
    <w:rsid w:val="00242CD0"/>
    <w:rsid w:val="002462C6"/>
    <w:rsid w:val="002468FC"/>
    <w:rsid w:val="00246FFE"/>
    <w:rsid w:val="00250932"/>
    <w:rsid w:val="00250E14"/>
    <w:rsid w:val="00252BA5"/>
    <w:rsid w:val="0025589B"/>
    <w:rsid w:val="00255AC3"/>
    <w:rsid w:val="00255CAD"/>
    <w:rsid w:val="0025634E"/>
    <w:rsid w:val="00256AEA"/>
    <w:rsid w:val="00257AEC"/>
    <w:rsid w:val="00260E32"/>
    <w:rsid w:val="00261A9D"/>
    <w:rsid w:val="00261F58"/>
    <w:rsid w:val="00262013"/>
    <w:rsid w:val="00263035"/>
    <w:rsid w:val="00263143"/>
    <w:rsid w:val="00264F4A"/>
    <w:rsid w:val="002652A8"/>
    <w:rsid w:val="002656B6"/>
    <w:rsid w:val="00267EAF"/>
    <w:rsid w:val="0027177E"/>
    <w:rsid w:val="00271D83"/>
    <w:rsid w:val="00274B13"/>
    <w:rsid w:val="00274F55"/>
    <w:rsid w:val="00275117"/>
    <w:rsid w:val="002753E5"/>
    <w:rsid w:val="0027557A"/>
    <w:rsid w:val="00275F67"/>
    <w:rsid w:val="00276D57"/>
    <w:rsid w:val="00277E79"/>
    <w:rsid w:val="00282121"/>
    <w:rsid w:val="00282212"/>
    <w:rsid w:val="002824A7"/>
    <w:rsid w:val="002826E6"/>
    <w:rsid w:val="0028284F"/>
    <w:rsid w:val="00282AB1"/>
    <w:rsid w:val="00283343"/>
    <w:rsid w:val="00284F20"/>
    <w:rsid w:val="00284F83"/>
    <w:rsid w:val="002854C5"/>
    <w:rsid w:val="00286023"/>
    <w:rsid w:val="00286B8E"/>
    <w:rsid w:val="0028771C"/>
    <w:rsid w:val="00287AB9"/>
    <w:rsid w:val="002907C2"/>
    <w:rsid w:val="002909F8"/>
    <w:rsid w:val="00292ED5"/>
    <w:rsid w:val="00293EE5"/>
    <w:rsid w:val="00293F40"/>
    <w:rsid w:val="00295845"/>
    <w:rsid w:val="00296159"/>
    <w:rsid w:val="00296D87"/>
    <w:rsid w:val="00297F22"/>
    <w:rsid w:val="002A0793"/>
    <w:rsid w:val="002A14C4"/>
    <w:rsid w:val="002A1872"/>
    <w:rsid w:val="002A1C4F"/>
    <w:rsid w:val="002A535C"/>
    <w:rsid w:val="002A589C"/>
    <w:rsid w:val="002A71EB"/>
    <w:rsid w:val="002A723E"/>
    <w:rsid w:val="002A77DF"/>
    <w:rsid w:val="002A7CFA"/>
    <w:rsid w:val="002B1244"/>
    <w:rsid w:val="002B2481"/>
    <w:rsid w:val="002B290C"/>
    <w:rsid w:val="002B2E26"/>
    <w:rsid w:val="002B3FC9"/>
    <w:rsid w:val="002C02CF"/>
    <w:rsid w:val="002C1F29"/>
    <w:rsid w:val="002C2E69"/>
    <w:rsid w:val="002C3576"/>
    <w:rsid w:val="002C3EA8"/>
    <w:rsid w:val="002C522E"/>
    <w:rsid w:val="002C6156"/>
    <w:rsid w:val="002C7583"/>
    <w:rsid w:val="002D06EE"/>
    <w:rsid w:val="002D1695"/>
    <w:rsid w:val="002D1E42"/>
    <w:rsid w:val="002D2EC1"/>
    <w:rsid w:val="002D361B"/>
    <w:rsid w:val="002D3BC5"/>
    <w:rsid w:val="002D61EF"/>
    <w:rsid w:val="002D6AEF"/>
    <w:rsid w:val="002D6D6E"/>
    <w:rsid w:val="002E0639"/>
    <w:rsid w:val="002E1051"/>
    <w:rsid w:val="002E17D2"/>
    <w:rsid w:val="002E3979"/>
    <w:rsid w:val="002E44A4"/>
    <w:rsid w:val="002E4AA5"/>
    <w:rsid w:val="002E5EA6"/>
    <w:rsid w:val="002E78D9"/>
    <w:rsid w:val="002E7D7E"/>
    <w:rsid w:val="002F0736"/>
    <w:rsid w:val="002F0759"/>
    <w:rsid w:val="002F08FF"/>
    <w:rsid w:val="002F0E01"/>
    <w:rsid w:val="002F1003"/>
    <w:rsid w:val="002F11F0"/>
    <w:rsid w:val="002F194B"/>
    <w:rsid w:val="002F1D4B"/>
    <w:rsid w:val="002F21DE"/>
    <w:rsid w:val="002F21F1"/>
    <w:rsid w:val="002F2AFF"/>
    <w:rsid w:val="002F3447"/>
    <w:rsid w:val="002F3AA2"/>
    <w:rsid w:val="002F4042"/>
    <w:rsid w:val="002F4883"/>
    <w:rsid w:val="002F5145"/>
    <w:rsid w:val="002F6B11"/>
    <w:rsid w:val="002F736E"/>
    <w:rsid w:val="003004B4"/>
    <w:rsid w:val="00300A55"/>
    <w:rsid w:val="00300E16"/>
    <w:rsid w:val="00301232"/>
    <w:rsid w:val="00301324"/>
    <w:rsid w:val="00301BA7"/>
    <w:rsid w:val="00302706"/>
    <w:rsid w:val="003027BB"/>
    <w:rsid w:val="00302DB9"/>
    <w:rsid w:val="003036D4"/>
    <w:rsid w:val="00310D7C"/>
    <w:rsid w:val="0031197C"/>
    <w:rsid w:val="00313E27"/>
    <w:rsid w:val="00314426"/>
    <w:rsid w:val="003158B2"/>
    <w:rsid w:val="003162BD"/>
    <w:rsid w:val="00316CB7"/>
    <w:rsid w:val="003173C7"/>
    <w:rsid w:val="003173FC"/>
    <w:rsid w:val="00320AF2"/>
    <w:rsid w:val="0032287F"/>
    <w:rsid w:val="00323092"/>
    <w:rsid w:val="0032406D"/>
    <w:rsid w:val="0032440D"/>
    <w:rsid w:val="00325067"/>
    <w:rsid w:val="00325297"/>
    <w:rsid w:val="00327958"/>
    <w:rsid w:val="00327BC9"/>
    <w:rsid w:val="00327FA1"/>
    <w:rsid w:val="0033046A"/>
    <w:rsid w:val="00330CCA"/>
    <w:rsid w:val="00332E58"/>
    <w:rsid w:val="003334B7"/>
    <w:rsid w:val="00335D72"/>
    <w:rsid w:val="003365A4"/>
    <w:rsid w:val="00336CA9"/>
    <w:rsid w:val="003373AE"/>
    <w:rsid w:val="00343152"/>
    <w:rsid w:val="00343162"/>
    <w:rsid w:val="00345EB9"/>
    <w:rsid w:val="003467CB"/>
    <w:rsid w:val="0034680E"/>
    <w:rsid w:val="003477B2"/>
    <w:rsid w:val="003477F2"/>
    <w:rsid w:val="003504D3"/>
    <w:rsid w:val="003528C6"/>
    <w:rsid w:val="00352C9A"/>
    <w:rsid w:val="00352E52"/>
    <w:rsid w:val="00357900"/>
    <w:rsid w:val="003625ED"/>
    <w:rsid w:val="00362F02"/>
    <w:rsid w:val="00366B29"/>
    <w:rsid w:val="00366D15"/>
    <w:rsid w:val="00370DA3"/>
    <w:rsid w:val="00370E82"/>
    <w:rsid w:val="003724F2"/>
    <w:rsid w:val="00373591"/>
    <w:rsid w:val="00373619"/>
    <w:rsid w:val="0037379B"/>
    <w:rsid w:val="00375068"/>
    <w:rsid w:val="00376AD8"/>
    <w:rsid w:val="003777AB"/>
    <w:rsid w:val="00380372"/>
    <w:rsid w:val="0038089A"/>
    <w:rsid w:val="003811ED"/>
    <w:rsid w:val="00382DD9"/>
    <w:rsid w:val="00383F7E"/>
    <w:rsid w:val="00385181"/>
    <w:rsid w:val="00385A27"/>
    <w:rsid w:val="00385B7A"/>
    <w:rsid w:val="00385C90"/>
    <w:rsid w:val="00386149"/>
    <w:rsid w:val="00387DBA"/>
    <w:rsid w:val="003900E2"/>
    <w:rsid w:val="00391B53"/>
    <w:rsid w:val="00391CC9"/>
    <w:rsid w:val="00392B8D"/>
    <w:rsid w:val="00394DA5"/>
    <w:rsid w:val="003959C1"/>
    <w:rsid w:val="00396F9C"/>
    <w:rsid w:val="0039774C"/>
    <w:rsid w:val="003978B8"/>
    <w:rsid w:val="00397D10"/>
    <w:rsid w:val="003A0332"/>
    <w:rsid w:val="003A04A3"/>
    <w:rsid w:val="003A1787"/>
    <w:rsid w:val="003A338E"/>
    <w:rsid w:val="003A33B5"/>
    <w:rsid w:val="003A4598"/>
    <w:rsid w:val="003A6195"/>
    <w:rsid w:val="003A6544"/>
    <w:rsid w:val="003A6988"/>
    <w:rsid w:val="003A7B8F"/>
    <w:rsid w:val="003A7DD8"/>
    <w:rsid w:val="003B0E73"/>
    <w:rsid w:val="003B1782"/>
    <w:rsid w:val="003B3E9C"/>
    <w:rsid w:val="003B424F"/>
    <w:rsid w:val="003B4A60"/>
    <w:rsid w:val="003B5869"/>
    <w:rsid w:val="003B586D"/>
    <w:rsid w:val="003B59CF"/>
    <w:rsid w:val="003B5D70"/>
    <w:rsid w:val="003B6D62"/>
    <w:rsid w:val="003C0DCA"/>
    <w:rsid w:val="003C12FC"/>
    <w:rsid w:val="003C1710"/>
    <w:rsid w:val="003C1811"/>
    <w:rsid w:val="003C2718"/>
    <w:rsid w:val="003C3611"/>
    <w:rsid w:val="003C432C"/>
    <w:rsid w:val="003C4E6F"/>
    <w:rsid w:val="003C5DE4"/>
    <w:rsid w:val="003C5E45"/>
    <w:rsid w:val="003C76C3"/>
    <w:rsid w:val="003D2664"/>
    <w:rsid w:val="003D281F"/>
    <w:rsid w:val="003D3AE8"/>
    <w:rsid w:val="003D5023"/>
    <w:rsid w:val="003D5867"/>
    <w:rsid w:val="003D5A10"/>
    <w:rsid w:val="003D6B28"/>
    <w:rsid w:val="003E008A"/>
    <w:rsid w:val="003E0253"/>
    <w:rsid w:val="003E0D9C"/>
    <w:rsid w:val="003E1266"/>
    <w:rsid w:val="003E1B2F"/>
    <w:rsid w:val="003E2650"/>
    <w:rsid w:val="003E360B"/>
    <w:rsid w:val="003E37EF"/>
    <w:rsid w:val="003E4D22"/>
    <w:rsid w:val="003E74BD"/>
    <w:rsid w:val="003F11F7"/>
    <w:rsid w:val="003F1E55"/>
    <w:rsid w:val="003F4DD3"/>
    <w:rsid w:val="003F4E97"/>
    <w:rsid w:val="003F57E2"/>
    <w:rsid w:val="003F5AF0"/>
    <w:rsid w:val="003F68CE"/>
    <w:rsid w:val="003F69C4"/>
    <w:rsid w:val="00400D3E"/>
    <w:rsid w:val="00401B92"/>
    <w:rsid w:val="004020FD"/>
    <w:rsid w:val="00404124"/>
    <w:rsid w:val="00404CD1"/>
    <w:rsid w:val="00405FF0"/>
    <w:rsid w:val="004071BC"/>
    <w:rsid w:val="0040740B"/>
    <w:rsid w:val="00407888"/>
    <w:rsid w:val="00407AA2"/>
    <w:rsid w:val="004116C7"/>
    <w:rsid w:val="00412E9E"/>
    <w:rsid w:val="00413464"/>
    <w:rsid w:val="00413B8A"/>
    <w:rsid w:val="00414E18"/>
    <w:rsid w:val="00415C6E"/>
    <w:rsid w:val="0041662D"/>
    <w:rsid w:val="00416734"/>
    <w:rsid w:val="00416979"/>
    <w:rsid w:val="00416E6A"/>
    <w:rsid w:val="004170C8"/>
    <w:rsid w:val="00420F8A"/>
    <w:rsid w:val="00421850"/>
    <w:rsid w:val="00421D68"/>
    <w:rsid w:val="00421FE1"/>
    <w:rsid w:val="00423993"/>
    <w:rsid w:val="004255CE"/>
    <w:rsid w:val="00425B10"/>
    <w:rsid w:val="00425B86"/>
    <w:rsid w:val="00425C79"/>
    <w:rsid w:val="00425D32"/>
    <w:rsid w:val="004269AD"/>
    <w:rsid w:val="00426C37"/>
    <w:rsid w:val="004309A0"/>
    <w:rsid w:val="00432FE8"/>
    <w:rsid w:val="00433B9C"/>
    <w:rsid w:val="004348B1"/>
    <w:rsid w:val="00435691"/>
    <w:rsid w:val="00435823"/>
    <w:rsid w:val="004366C0"/>
    <w:rsid w:val="004367DE"/>
    <w:rsid w:val="004371FB"/>
    <w:rsid w:val="00442137"/>
    <w:rsid w:val="00443CD7"/>
    <w:rsid w:val="004440BD"/>
    <w:rsid w:val="00446641"/>
    <w:rsid w:val="00447F6A"/>
    <w:rsid w:val="0045205A"/>
    <w:rsid w:val="004533E7"/>
    <w:rsid w:val="0045378A"/>
    <w:rsid w:val="00456920"/>
    <w:rsid w:val="00456951"/>
    <w:rsid w:val="0045723A"/>
    <w:rsid w:val="0046131F"/>
    <w:rsid w:val="004613B1"/>
    <w:rsid w:val="0046147E"/>
    <w:rsid w:val="0046149D"/>
    <w:rsid w:val="004625E5"/>
    <w:rsid w:val="00463AD0"/>
    <w:rsid w:val="00464E6D"/>
    <w:rsid w:val="0046667B"/>
    <w:rsid w:val="0046782F"/>
    <w:rsid w:val="00467D3C"/>
    <w:rsid w:val="00470278"/>
    <w:rsid w:val="0047043E"/>
    <w:rsid w:val="004718D8"/>
    <w:rsid w:val="00471E6D"/>
    <w:rsid w:val="00472F2F"/>
    <w:rsid w:val="00473D80"/>
    <w:rsid w:val="004751BD"/>
    <w:rsid w:val="004754C5"/>
    <w:rsid w:val="00475DD6"/>
    <w:rsid w:val="00476A57"/>
    <w:rsid w:val="00476B67"/>
    <w:rsid w:val="004801BB"/>
    <w:rsid w:val="0048059E"/>
    <w:rsid w:val="00481556"/>
    <w:rsid w:val="00484D68"/>
    <w:rsid w:val="00485558"/>
    <w:rsid w:val="00485B86"/>
    <w:rsid w:val="0048733D"/>
    <w:rsid w:val="00490409"/>
    <w:rsid w:val="004907A6"/>
    <w:rsid w:val="0049146D"/>
    <w:rsid w:val="004915DA"/>
    <w:rsid w:val="00492674"/>
    <w:rsid w:val="00493333"/>
    <w:rsid w:val="0049354D"/>
    <w:rsid w:val="00495665"/>
    <w:rsid w:val="004974D8"/>
    <w:rsid w:val="004A0F33"/>
    <w:rsid w:val="004A1DB1"/>
    <w:rsid w:val="004A22DA"/>
    <w:rsid w:val="004A5703"/>
    <w:rsid w:val="004A5DA8"/>
    <w:rsid w:val="004A6B91"/>
    <w:rsid w:val="004A6E5F"/>
    <w:rsid w:val="004A74A7"/>
    <w:rsid w:val="004B0674"/>
    <w:rsid w:val="004B0E41"/>
    <w:rsid w:val="004B1EF9"/>
    <w:rsid w:val="004B20C1"/>
    <w:rsid w:val="004B21FE"/>
    <w:rsid w:val="004B23F1"/>
    <w:rsid w:val="004B3141"/>
    <w:rsid w:val="004B350D"/>
    <w:rsid w:val="004B36AE"/>
    <w:rsid w:val="004B43E1"/>
    <w:rsid w:val="004B48A5"/>
    <w:rsid w:val="004B6552"/>
    <w:rsid w:val="004B7367"/>
    <w:rsid w:val="004B7BA2"/>
    <w:rsid w:val="004B7EAA"/>
    <w:rsid w:val="004C02D8"/>
    <w:rsid w:val="004C0D9A"/>
    <w:rsid w:val="004C1A24"/>
    <w:rsid w:val="004C2BD5"/>
    <w:rsid w:val="004C36C1"/>
    <w:rsid w:val="004C3D77"/>
    <w:rsid w:val="004C483B"/>
    <w:rsid w:val="004C4DBB"/>
    <w:rsid w:val="004C69CC"/>
    <w:rsid w:val="004C7C13"/>
    <w:rsid w:val="004C7D65"/>
    <w:rsid w:val="004D0539"/>
    <w:rsid w:val="004D0DE9"/>
    <w:rsid w:val="004D1DA4"/>
    <w:rsid w:val="004D1DF2"/>
    <w:rsid w:val="004D3784"/>
    <w:rsid w:val="004D5FD1"/>
    <w:rsid w:val="004E03E7"/>
    <w:rsid w:val="004E0460"/>
    <w:rsid w:val="004E0BEA"/>
    <w:rsid w:val="004E1B33"/>
    <w:rsid w:val="004E26CA"/>
    <w:rsid w:val="004E31F8"/>
    <w:rsid w:val="004E397D"/>
    <w:rsid w:val="004E64EB"/>
    <w:rsid w:val="004E6DEA"/>
    <w:rsid w:val="004F185B"/>
    <w:rsid w:val="004F1C6E"/>
    <w:rsid w:val="004F3197"/>
    <w:rsid w:val="004F4D1C"/>
    <w:rsid w:val="004F539C"/>
    <w:rsid w:val="005000B6"/>
    <w:rsid w:val="005010D3"/>
    <w:rsid w:val="00502155"/>
    <w:rsid w:val="00502409"/>
    <w:rsid w:val="005039D4"/>
    <w:rsid w:val="00504B93"/>
    <w:rsid w:val="00505182"/>
    <w:rsid w:val="00506BD4"/>
    <w:rsid w:val="00506EB1"/>
    <w:rsid w:val="005116CD"/>
    <w:rsid w:val="0051419B"/>
    <w:rsid w:val="005144B6"/>
    <w:rsid w:val="00514762"/>
    <w:rsid w:val="00514B22"/>
    <w:rsid w:val="0052046A"/>
    <w:rsid w:val="005209BB"/>
    <w:rsid w:val="0052187F"/>
    <w:rsid w:val="005226F8"/>
    <w:rsid w:val="005228E9"/>
    <w:rsid w:val="005250E8"/>
    <w:rsid w:val="00525F2B"/>
    <w:rsid w:val="00527FB8"/>
    <w:rsid w:val="00530AE7"/>
    <w:rsid w:val="00530CB6"/>
    <w:rsid w:val="005315B3"/>
    <w:rsid w:val="005328F8"/>
    <w:rsid w:val="005364AA"/>
    <w:rsid w:val="00536811"/>
    <w:rsid w:val="00540294"/>
    <w:rsid w:val="00541ED3"/>
    <w:rsid w:val="00543872"/>
    <w:rsid w:val="00543915"/>
    <w:rsid w:val="00544238"/>
    <w:rsid w:val="005449B5"/>
    <w:rsid w:val="00545485"/>
    <w:rsid w:val="00545903"/>
    <w:rsid w:val="00546548"/>
    <w:rsid w:val="00546FEA"/>
    <w:rsid w:val="005472BD"/>
    <w:rsid w:val="0055392F"/>
    <w:rsid w:val="005559F8"/>
    <w:rsid w:val="00556238"/>
    <w:rsid w:val="00556F97"/>
    <w:rsid w:val="005619B0"/>
    <w:rsid w:val="005626AE"/>
    <w:rsid w:val="005626DA"/>
    <w:rsid w:val="00563D0A"/>
    <w:rsid w:val="00564EA8"/>
    <w:rsid w:val="005655B1"/>
    <w:rsid w:val="00565C7D"/>
    <w:rsid w:val="0056606D"/>
    <w:rsid w:val="00566D15"/>
    <w:rsid w:val="005670CE"/>
    <w:rsid w:val="00571089"/>
    <w:rsid w:val="00572DFA"/>
    <w:rsid w:val="0057448E"/>
    <w:rsid w:val="00574A40"/>
    <w:rsid w:val="00575041"/>
    <w:rsid w:val="00575E1C"/>
    <w:rsid w:val="00576D1C"/>
    <w:rsid w:val="00576D42"/>
    <w:rsid w:val="00576FF9"/>
    <w:rsid w:val="005775A0"/>
    <w:rsid w:val="0058006A"/>
    <w:rsid w:val="00583DE6"/>
    <w:rsid w:val="00584716"/>
    <w:rsid w:val="00584FA8"/>
    <w:rsid w:val="005853F1"/>
    <w:rsid w:val="0058610F"/>
    <w:rsid w:val="00586A04"/>
    <w:rsid w:val="0059091F"/>
    <w:rsid w:val="005921C2"/>
    <w:rsid w:val="00592807"/>
    <w:rsid w:val="00592B17"/>
    <w:rsid w:val="00593AF2"/>
    <w:rsid w:val="0059424D"/>
    <w:rsid w:val="0059462F"/>
    <w:rsid w:val="0059527E"/>
    <w:rsid w:val="005959B5"/>
    <w:rsid w:val="00595EE0"/>
    <w:rsid w:val="00596956"/>
    <w:rsid w:val="00596F3C"/>
    <w:rsid w:val="00597264"/>
    <w:rsid w:val="00597AD3"/>
    <w:rsid w:val="00597C3C"/>
    <w:rsid w:val="005A0373"/>
    <w:rsid w:val="005A1762"/>
    <w:rsid w:val="005A19D8"/>
    <w:rsid w:val="005A1B8D"/>
    <w:rsid w:val="005A255A"/>
    <w:rsid w:val="005A27AC"/>
    <w:rsid w:val="005A33EC"/>
    <w:rsid w:val="005A4015"/>
    <w:rsid w:val="005A44D2"/>
    <w:rsid w:val="005A4EBD"/>
    <w:rsid w:val="005A62AE"/>
    <w:rsid w:val="005A62DC"/>
    <w:rsid w:val="005A724B"/>
    <w:rsid w:val="005A784F"/>
    <w:rsid w:val="005B0767"/>
    <w:rsid w:val="005B1269"/>
    <w:rsid w:val="005B186A"/>
    <w:rsid w:val="005B1C0E"/>
    <w:rsid w:val="005B33DD"/>
    <w:rsid w:val="005B4806"/>
    <w:rsid w:val="005B575E"/>
    <w:rsid w:val="005B5F9F"/>
    <w:rsid w:val="005B61A9"/>
    <w:rsid w:val="005B6E0A"/>
    <w:rsid w:val="005B6EF5"/>
    <w:rsid w:val="005C02C5"/>
    <w:rsid w:val="005C11B0"/>
    <w:rsid w:val="005C14C8"/>
    <w:rsid w:val="005C176E"/>
    <w:rsid w:val="005C29EA"/>
    <w:rsid w:val="005C415B"/>
    <w:rsid w:val="005C499F"/>
    <w:rsid w:val="005C5A7C"/>
    <w:rsid w:val="005C5E87"/>
    <w:rsid w:val="005D1E54"/>
    <w:rsid w:val="005D622C"/>
    <w:rsid w:val="005D66D0"/>
    <w:rsid w:val="005E002E"/>
    <w:rsid w:val="005E28E0"/>
    <w:rsid w:val="005E2A67"/>
    <w:rsid w:val="005E2A94"/>
    <w:rsid w:val="005E480C"/>
    <w:rsid w:val="005E5A8F"/>
    <w:rsid w:val="005F02BE"/>
    <w:rsid w:val="005F2987"/>
    <w:rsid w:val="005F3DEF"/>
    <w:rsid w:val="005F4078"/>
    <w:rsid w:val="005F5927"/>
    <w:rsid w:val="005F6536"/>
    <w:rsid w:val="005F6A00"/>
    <w:rsid w:val="005F6F6E"/>
    <w:rsid w:val="005F7F1B"/>
    <w:rsid w:val="006003F0"/>
    <w:rsid w:val="00601057"/>
    <w:rsid w:val="00601426"/>
    <w:rsid w:val="00601B7D"/>
    <w:rsid w:val="00602028"/>
    <w:rsid w:val="0060249E"/>
    <w:rsid w:val="006025F9"/>
    <w:rsid w:val="00603007"/>
    <w:rsid w:val="00605C81"/>
    <w:rsid w:val="00605D3E"/>
    <w:rsid w:val="006073B4"/>
    <w:rsid w:val="00610236"/>
    <w:rsid w:val="006111C3"/>
    <w:rsid w:val="00611295"/>
    <w:rsid w:val="006120BC"/>
    <w:rsid w:val="00614812"/>
    <w:rsid w:val="00617403"/>
    <w:rsid w:val="006177BE"/>
    <w:rsid w:val="00617C74"/>
    <w:rsid w:val="00620D65"/>
    <w:rsid w:val="00621F1E"/>
    <w:rsid w:val="00625106"/>
    <w:rsid w:val="006257B3"/>
    <w:rsid w:val="00625D06"/>
    <w:rsid w:val="006300FD"/>
    <w:rsid w:val="00632691"/>
    <w:rsid w:val="00632B1F"/>
    <w:rsid w:val="00632D91"/>
    <w:rsid w:val="0063378A"/>
    <w:rsid w:val="006354F5"/>
    <w:rsid w:val="0063582E"/>
    <w:rsid w:val="00635E68"/>
    <w:rsid w:val="00636099"/>
    <w:rsid w:val="00636823"/>
    <w:rsid w:val="00636C4A"/>
    <w:rsid w:val="00636DC9"/>
    <w:rsid w:val="00640AD7"/>
    <w:rsid w:val="00640EED"/>
    <w:rsid w:val="00641835"/>
    <w:rsid w:val="0064209E"/>
    <w:rsid w:val="00642F25"/>
    <w:rsid w:val="006436F9"/>
    <w:rsid w:val="00643DF6"/>
    <w:rsid w:val="006451A1"/>
    <w:rsid w:val="006452A4"/>
    <w:rsid w:val="00650015"/>
    <w:rsid w:val="0065020E"/>
    <w:rsid w:val="00650F80"/>
    <w:rsid w:val="00651467"/>
    <w:rsid w:val="00651B9C"/>
    <w:rsid w:val="00653921"/>
    <w:rsid w:val="00653A9B"/>
    <w:rsid w:val="0065450D"/>
    <w:rsid w:val="0065465D"/>
    <w:rsid w:val="00654890"/>
    <w:rsid w:val="00654B85"/>
    <w:rsid w:val="0066018F"/>
    <w:rsid w:val="00661220"/>
    <w:rsid w:val="00663A59"/>
    <w:rsid w:val="00664437"/>
    <w:rsid w:val="00666334"/>
    <w:rsid w:val="00666559"/>
    <w:rsid w:val="0066676B"/>
    <w:rsid w:val="00667C78"/>
    <w:rsid w:val="00667E11"/>
    <w:rsid w:val="00667E49"/>
    <w:rsid w:val="00670109"/>
    <w:rsid w:val="006713E5"/>
    <w:rsid w:val="00672738"/>
    <w:rsid w:val="00672BD0"/>
    <w:rsid w:val="0067360C"/>
    <w:rsid w:val="00674DC0"/>
    <w:rsid w:val="00675622"/>
    <w:rsid w:val="00675B9C"/>
    <w:rsid w:val="00676526"/>
    <w:rsid w:val="00676F4A"/>
    <w:rsid w:val="0067727F"/>
    <w:rsid w:val="00677331"/>
    <w:rsid w:val="00677D5D"/>
    <w:rsid w:val="00677E42"/>
    <w:rsid w:val="006801B6"/>
    <w:rsid w:val="00680F42"/>
    <w:rsid w:val="00681CA4"/>
    <w:rsid w:val="00683447"/>
    <w:rsid w:val="0068386D"/>
    <w:rsid w:val="00684514"/>
    <w:rsid w:val="0068539E"/>
    <w:rsid w:val="006857AF"/>
    <w:rsid w:val="00686C5B"/>
    <w:rsid w:val="006878F9"/>
    <w:rsid w:val="00690687"/>
    <w:rsid w:val="00690BE5"/>
    <w:rsid w:val="00692BD1"/>
    <w:rsid w:val="00693038"/>
    <w:rsid w:val="0069420D"/>
    <w:rsid w:val="00694246"/>
    <w:rsid w:val="0069619C"/>
    <w:rsid w:val="00696384"/>
    <w:rsid w:val="00696A7E"/>
    <w:rsid w:val="00697639"/>
    <w:rsid w:val="006A0DFE"/>
    <w:rsid w:val="006A0E1D"/>
    <w:rsid w:val="006A1565"/>
    <w:rsid w:val="006A1B63"/>
    <w:rsid w:val="006A3317"/>
    <w:rsid w:val="006A3492"/>
    <w:rsid w:val="006A3ACB"/>
    <w:rsid w:val="006A730E"/>
    <w:rsid w:val="006A7B8F"/>
    <w:rsid w:val="006B0E3D"/>
    <w:rsid w:val="006B1260"/>
    <w:rsid w:val="006B35D1"/>
    <w:rsid w:val="006B4510"/>
    <w:rsid w:val="006B5377"/>
    <w:rsid w:val="006B643E"/>
    <w:rsid w:val="006B6D6F"/>
    <w:rsid w:val="006B7822"/>
    <w:rsid w:val="006C2056"/>
    <w:rsid w:val="006C4CA4"/>
    <w:rsid w:val="006C59CB"/>
    <w:rsid w:val="006C5A51"/>
    <w:rsid w:val="006C74BA"/>
    <w:rsid w:val="006C7D22"/>
    <w:rsid w:val="006D0F7D"/>
    <w:rsid w:val="006D1BF7"/>
    <w:rsid w:val="006D2F21"/>
    <w:rsid w:val="006D35B2"/>
    <w:rsid w:val="006D5DE9"/>
    <w:rsid w:val="006D737E"/>
    <w:rsid w:val="006D7898"/>
    <w:rsid w:val="006D7B92"/>
    <w:rsid w:val="006D7F69"/>
    <w:rsid w:val="006E0CD4"/>
    <w:rsid w:val="006E1DC7"/>
    <w:rsid w:val="006E3D0F"/>
    <w:rsid w:val="006E4003"/>
    <w:rsid w:val="006E4B73"/>
    <w:rsid w:val="006E4E30"/>
    <w:rsid w:val="006E5326"/>
    <w:rsid w:val="006F2260"/>
    <w:rsid w:val="006F3469"/>
    <w:rsid w:val="006F3892"/>
    <w:rsid w:val="006F3B5B"/>
    <w:rsid w:val="006F3CBA"/>
    <w:rsid w:val="006F71AE"/>
    <w:rsid w:val="007003C8"/>
    <w:rsid w:val="00701D5E"/>
    <w:rsid w:val="0070354A"/>
    <w:rsid w:val="00703925"/>
    <w:rsid w:val="00705907"/>
    <w:rsid w:val="00707EF5"/>
    <w:rsid w:val="0071001E"/>
    <w:rsid w:val="007100E5"/>
    <w:rsid w:val="007104EF"/>
    <w:rsid w:val="0071088E"/>
    <w:rsid w:val="00710AF4"/>
    <w:rsid w:val="00713645"/>
    <w:rsid w:val="007137FA"/>
    <w:rsid w:val="0071467F"/>
    <w:rsid w:val="00714858"/>
    <w:rsid w:val="00715467"/>
    <w:rsid w:val="00715F4C"/>
    <w:rsid w:val="00716AAF"/>
    <w:rsid w:val="00716E7C"/>
    <w:rsid w:val="0071766E"/>
    <w:rsid w:val="007216F4"/>
    <w:rsid w:val="00721FF3"/>
    <w:rsid w:val="00722E89"/>
    <w:rsid w:val="007237A1"/>
    <w:rsid w:val="00723D4A"/>
    <w:rsid w:val="00723D7A"/>
    <w:rsid w:val="00724B94"/>
    <w:rsid w:val="00724D0B"/>
    <w:rsid w:val="0072598C"/>
    <w:rsid w:val="00727C09"/>
    <w:rsid w:val="00731CA6"/>
    <w:rsid w:val="007339E2"/>
    <w:rsid w:val="0073432D"/>
    <w:rsid w:val="007347B9"/>
    <w:rsid w:val="00734D1A"/>
    <w:rsid w:val="007353F1"/>
    <w:rsid w:val="007365D3"/>
    <w:rsid w:val="00737B99"/>
    <w:rsid w:val="00740942"/>
    <w:rsid w:val="00741365"/>
    <w:rsid w:val="00741E03"/>
    <w:rsid w:val="00742770"/>
    <w:rsid w:val="00743C3E"/>
    <w:rsid w:val="007444FB"/>
    <w:rsid w:val="0074466F"/>
    <w:rsid w:val="007446CF"/>
    <w:rsid w:val="00744B76"/>
    <w:rsid w:val="00747D1D"/>
    <w:rsid w:val="00747E39"/>
    <w:rsid w:val="0075175F"/>
    <w:rsid w:val="007527A9"/>
    <w:rsid w:val="00752891"/>
    <w:rsid w:val="007537B0"/>
    <w:rsid w:val="00755051"/>
    <w:rsid w:val="00755753"/>
    <w:rsid w:val="0075625A"/>
    <w:rsid w:val="007565A9"/>
    <w:rsid w:val="00756866"/>
    <w:rsid w:val="007577F3"/>
    <w:rsid w:val="00757823"/>
    <w:rsid w:val="00757B68"/>
    <w:rsid w:val="00762980"/>
    <w:rsid w:val="00765599"/>
    <w:rsid w:val="00766979"/>
    <w:rsid w:val="00767ECE"/>
    <w:rsid w:val="007717C5"/>
    <w:rsid w:val="00772F20"/>
    <w:rsid w:val="007730EF"/>
    <w:rsid w:val="007734B4"/>
    <w:rsid w:val="007742B7"/>
    <w:rsid w:val="0077489F"/>
    <w:rsid w:val="00774BED"/>
    <w:rsid w:val="00774CBC"/>
    <w:rsid w:val="00775AD1"/>
    <w:rsid w:val="00775B03"/>
    <w:rsid w:val="00775C7C"/>
    <w:rsid w:val="00776F02"/>
    <w:rsid w:val="00780236"/>
    <w:rsid w:val="00781AE0"/>
    <w:rsid w:val="007836F8"/>
    <w:rsid w:val="0078417B"/>
    <w:rsid w:val="00784982"/>
    <w:rsid w:val="00785E5F"/>
    <w:rsid w:val="00786C41"/>
    <w:rsid w:val="0078708A"/>
    <w:rsid w:val="0078764B"/>
    <w:rsid w:val="00787E63"/>
    <w:rsid w:val="00787FF0"/>
    <w:rsid w:val="007905F1"/>
    <w:rsid w:val="00791CD9"/>
    <w:rsid w:val="00791DD4"/>
    <w:rsid w:val="0079284A"/>
    <w:rsid w:val="00792B53"/>
    <w:rsid w:val="00792BE5"/>
    <w:rsid w:val="00793BDD"/>
    <w:rsid w:val="00793CB3"/>
    <w:rsid w:val="00794217"/>
    <w:rsid w:val="0079489A"/>
    <w:rsid w:val="00795D24"/>
    <w:rsid w:val="007A08FC"/>
    <w:rsid w:val="007A1277"/>
    <w:rsid w:val="007A3FB0"/>
    <w:rsid w:val="007A4028"/>
    <w:rsid w:val="007A4D45"/>
    <w:rsid w:val="007A4F85"/>
    <w:rsid w:val="007A5A38"/>
    <w:rsid w:val="007A6306"/>
    <w:rsid w:val="007B38E1"/>
    <w:rsid w:val="007B40F5"/>
    <w:rsid w:val="007B4178"/>
    <w:rsid w:val="007B5CCA"/>
    <w:rsid w:val="007B5D30"/>
    <w:rsid w:val="007B6238"/>
    <w:rsid w:val="007B628B"/>
    <w:rsid w:val="007B6641"/>
    <w:rsid w:val="007C0084"/>
    <w:rsid w:val="007C1046"/>
    <w:rsid w:val="007C105C"/>
    <w:rsid w:val="007C264D"/>
    <w:rsid w:val="007C3CC2"/>
    <w:rsid w:val="007C3E72"/>
    <w:rsid w:val="007C460A"/>
    <w:rsid w:val="007C50ED"/>
    <w:rsid w:val="007C593E"/>
    <w:rsid w:val="007C6952"/>
    <w:rsid w:val="007C6D3B"/>
    <w:rsid w:val="007D03A4"/>
    <w:rsid w:val="007D36CC"/>
    <w:rsid w:val="007D41CE"/>
    <w:rsid w:val="007D508C"/>
    <w:rsid w:val="007D5095"/>
    <w:rsid w:val="007D6463"/>
    <w:rsid w:val="007D7238"/>
    <w:rsid w:val="007D7CCA"/>
    <w:rsid w:val="007E09CE"/>
    <w:rsid w:val="007E09FD"/>
    <w:rsid w:val="007E0BDF"/>
    <w:rsid w:val="007E1A4B"/>
    <w:rsid w:val="007E2476"/>
    <w:rsid w:val="007E2A70"/>
    <w:rsid w:val="007E3689"/>
    <w:rsid w:val="007E45AC"/>
    <w:rsid w:val="007E59A4"/>
    <w:rsid w:val="007E6B1C"/>
    <w:rsid w:val="007E6F1C"/>
    <w:rsid w:val="007E7B1D"/>
    <w:rsid w:val="007F20B4"/>
    <w:rsid w:val="007F4453"/>
    <w:rsid w:val="007F50F2"/>
    <w:rsid w:val="007F53C2"/>
    <w:rsid w:val="007F68D7"/>
    <w:rsid w:val="007F71D6"/>
    <w:rsid w:val="007F74E0"/>
    <w:rsid w:val="007F7D64"/>
    <w:rsid w:val="0080114B"/>
    <w:rsid w:val="00801CCB"/>
    <w:rsid w:val="00803ACF"/>
    <w:rsid w:val="008046ED"/>
    <w:rsid w:val="00804FDA"/>
    <w:rsid w:val="00806872"/>
    <w:rsid w:val="00810047"/>
    <w:rsid w:val="00810B00"/>
    <w:rsid w:val="00811928"/>
    <w:rsid w:val="0081576F"/>
    <w:rsid w:val="00815815"/>
    <w:rsid w:val="00815B07"/>
    <w:rsid w:val="0081673E"/>
    <w:rsid w:val="008170C8"/>
    <w:rsid w:val="008171E5"/>
    <w:rsid w:val="008172E2"/>
    <w:rsid w:val="00817C8F"/>
    <w:rsid w:val="00821179"/>
    <w:rsid w:val="00821583"/>
    <w:rsid w:val="00821FBC"/>
    <w:rsid w:val="00822869"/>
    <w:rsid w:val="008237A9"/>
    <w:rsid w:val="00823D2E"/>
    <w:rsid w:val="00823E14"/>
    <w:rsid w:val="00827310"/>
    <w:rsid w:val="00827EAF"/>
    <w:rsid w:val="0083072E"/>
    <w:rsid w:val="00830B17"/>
    <w:rsid w:val="00830D96"/>
    <w:rsid w:val="00830EBF"/>
    <w:rsid w:val="00831CA3"/>
    <w:rsid w:val="008333E6"/>
    <w:rsid w:val="00834BE7"/>
    <w:rsid w:val="00834F17"/>
    <w:rsid w:val="008354DB"/>
    <w:rsid w:val="00836398"/>
    <w:rsid w:val="00837010"/>
    <w:rsid w:val="00837770"/>
    <w:rsid w:val="00837FBD"/>
    <w:rsid w:val="008417C8"/>
    <w:rsid w:val="0084226C"/>
    <w:rsid w:val="00842CEB"/>
    <w:rsid w:val="00843342"/>
    <w:rsid w:val="008438A3"/>
    <w:rsid w:val="0084479F"/>
    <w:rsid w:val="0084500A"/>
    <w:rsid w:val="008458AA"/>
    <w:rsid w:val="008461ED"/>
    <w:rsid w:val="00850032"/>
    <w:rsid w:val="008525C8"/>
    <w:rsid w:val="008528F2"/>
    <w:rsid w:val="008604D9"/>
    <w:rsid w:val="008620BF"/>
    <w:rsid w:val="008624C4"/>
    <w:rsid w:val="00862A2E"/>
    <w:rsid w:val="00862B78"/>
    <w:rsid w:val="008644E5"/>
    <w:rsid w:val="00865004"/>
    <w:rsid w:val="00865356"/>
    <w:rsid w:val="00865A14"/>
    <w:rsid w:val="00866AF7"/>
    <w:rsid w:val="008707CE"/>
    <w:rsid w:val="00870CCD"/>
    <w:rsid w:val="0087310C"/>
    <w:rsid w:val="00876BC7"/>
    <w:rsid w:val="008772E0"/>
    <w:rsid w:val="00881A89"/>
    <w:rsid w:val="0088271F"/>
    <w:rsid w:val="00882C39"/>
    <w:rsid w:val="008831CC"/>
    <w:rsid w:val="00883FEA"/>
    <w:rsid w:val="00886C4D"/>
    <w:rsid w:val="00890623"/>
    <w:rsid w:val="00890FAA"/>
    <w:rsid w:val="0089284C"/>
    <w:rsid w:val="008944CE"/>
    <w:rsid w:val="00895286"/>
    <w:rsid w:val="0089705D"/>
    <w:rsid w:val="00897550"/>
    <w:rsid w:val="008A06A7"/>
    <w:rsid w:val="008A094C"/>
    <w:rsid w:val="008A214C"/>
    <w:rsid w:val="008A244D"/>
    <w:rsid w:val="008A2891"/>
    <w:rsid w:val="008A2D17"/>
    <w:rsid w:val="008A4923"/>
    <w:rsid w:val="008A7C84"/>
    <w:rsid w:val="008B07DC"/>
    <w:rsid w:val="008B246F"/>
    <w:rsid w:val="008B2DF3"/>
    <w:rsid w:val="008B3C04"/>
    <w:rsid w:val="008B48C7"/>
    <w:rsid w:val="008B52B8"/>
    <w:rsid w:val="008B5DEE"/>
    <w:rsid w:val="008B5E7D"/>
    <w:rsid w:val="008B5F2A"/>
    <w:rsid w:val="008B79BC"/>
    <w:rsid w:val="008C0E72"/>
    <w:rsid w:val="008C0F93"/>
    <w:rsid w:val="008C12FB"/>
    <w:rsid w:val="008C15EF"/>
    <w:rsid w:val="008C1A08"/>
    <w:rsid w:val="008C2EC7"/>
    <w:rsid w:val="008C3B34"/>
    <w:rsid w:val="008C5025"/>
    <w:rsid w:val="008C54D2"/>
    <w:rsid w:val="008C7086"/>
    <w:rsid w:val="008C7BC1"/>
    <w:rsid w:val="008C7EF0"/>
    <w:rsid w:val="008D10B7"/>
    <w:rsid w:val="008D16B2"/>
    <w:rsid w:val="008D22F3"/>
    <w:rsid w:val="008D2C64"/>
    <w:rsid w:val="008D31D2"/>
    <w:rsid w:val="008D4B21"/>
    <w:rsid w:val="008D5B55"/>
    <w:rsid w:val="008D6E98"/>
    <w:rsid w:val="008E0EB9"/>
    <w:rsid w:val="008E10D3"/>
    <w:rsid w:val="008E11BE"/>
    <w:rsid w:val="008E18AE"/>
    <w:rsid w:val="008E3140"/>
    <w:rsid w:val="008E35F7"/>
    <w:rsid w:val="008E3F99"/>
    <w:rsid w:val="008E40D7"/>
    <w:rsid w:val="008E4DD4"/>
    <w:rsid w:val="008E5BE8"/>
    <w:rsid w:val="008E6676"/>
    <w:rsid w:val="008E6B79"/>
    <w:rsid w:val="008F082A"/>
    <w:rsid w:val="008F0B77"/>
    <w:rsid w:val="008F0D1A"/>
    <w:rsid w:val="008F2089"/>
    <w:rsid w:val="008F25F6"/>
    <w:rsid w:val="008F2CC3"/>
    <w:rsid w:val="008F2F89"/>
    <w:rsid w:val="008F3EAD"/>
    <w:rsid w:val="008F3FE3"/>
    <w:rsid w:val="008F418D"/>
    <w:rsid w:val="008F4ADB"/>
    <w:rsid w:val="008F6105"/>
    <w:rsid w:val="008F7397"/>
    <w:rsid w:val="008F7985"/>
    <w:rsid w:val="008F7C9B"/>
    <w:rsid w:val="00900A8E"/>
    <w:rsid w:val="00902326"/>
    <w:rsid w:val="00903BF7"/>
    <w:rsid w:val="009050C2"/>
    <w:rsid w:val="00906E26"/>
    <w:rsid w:val="00907215"/>
    <w:rsid w:val="00907CD7"/>
    <w:rsid w:val="00910030"/>
    <w:rsid w:val="0091091C"/>
    <w:rsid w:val="00911CAB"/>
    <w:rsid w:val="00912148"/>
    <w:rsid w:val="00914534"/>
    <w:rsid w:val="009179C9"/>
    <w:rsid w:val="00917B9B"/>
    <w:rsid w:val="00920170"/>
    <w:rsid w:val="00920202"/>
    <w:rsid w:val="00920B29"/>
    <w:rsid w:val="0092122A"/>
    <w:rsid w:val="009217DD"/>
    <w:rsid w:val="00921981"/>
    <w:rsid w:val="00922326"/>
    <w:rsid w:val="00922460"/>
    <w:rsid w:val="00924978"/>
    <w:rsid w:val="00933FDC"/>
    <w:rsid w:val="00934185"/>
    <w:rsid w:val="0093431F"/>
    <w:rsid w:val="009360FE"/>
    <w:rsid w:val="00936D67"/>
    <w:rsid w:val="00936F89"/>
    <w:rsid w:val="00937666"/>
    <w:rsid w:val="00937675"/>
    <w:rsid w:val="00937F93"/>
    <w:rsid w:val="009403E6"/>
    <w:rsid w:val="009419D7"/>
    <w:rsid w:val="009420FE"/>
    <w:rsid w:val="00952BD2"/>
    <w:rsid w:val="0095464F"/>
    <w:rsid w:val="00954BE7"/>
    <w:rsid w:val="009579B8"/>
    <w:rsid w:val="00962C9C"/>
    <w:rsid w:val="009641BE"/>
    <w:rsid w:val="0096439E"/>
    <w:rsid w:val="00964AAC"/>
    <w:rsid w:val="009654A3"/>
    <w:rsid w:val="00965A9D"/>
    <w:rsid w:val="00965CDC"/>
    <w:rsid w:val="00965FCD"/>
    <w:rsid w:val="00966990"/>
    <w:rsid w:val="009671EE"/>
    <w:rsid w:val="00971B45"/>
    <w:rsid w:val="00972F7B"/>
    <w:rsid w:val="00975764"/>
    <w:rsid w:val="00975ECB"/>
    <w:rsid w:val="009766E8"/>
    <w:rsid w:val="009769AD"/>
    <w:rsid w:val="00977C6D"/>
    <w:rsid w:val="00980438"/>
    <w:rsid w:val="00980D62"/>
    <w:rsid w:val="00981F4F"/>
    <w:rsid w:val="009829C4"/>
    <w:rsid w:val="00984144"/>
    <w:rsid w:val="0098503D"/>
    <w:rsid w:val="00985CCD"/>
    <w:rsid w:val="00986A23"/>
    <w:rsid w:val="00986C2C"/>
    <w:rsid w:val="00986CEB"/>
    <w:rsid w:val="00986EBD"/>
    <w:rsid w:val="0098751A"/>
    <w:rsid w:val="00987D09"/>
    <w:rsid w:val="0099020A"/>
    <w:rsid w:val="00991A73"/>
    <w:rsid w:val="00992094"/>
    <w:rsid w:val="009923DF"/>
    <w:rsid w:val="00992647"/>
    <w:rsid w:val="0099295C"/>
    <w:rsid w:val="00992D7B"/>
    <w:rsid w:val="00993A30"/>
    <w:rsid w:val="00993CA5"/>
    <w:rsid w:val="0099470B"/>
    <w:rsid w:val="00994739"/>
    <w:rsid w:val="00994755"/>
    <w:rsid w:val="00995A43"/>
    <w:rsid w:val="009971E5"/>
    <w:rsid w:val="00997BEA"/>
    <w:rsid w:val="009A0F30"/>
    <w:rsid w:val="009A1735"/>
    <w:rsid w:val="009A1E3E"/>
    <w:rsid w:val="009A296F"/>
    <w:rsid w:val="009A2F55"/>
    <w:rsid w:val="009A510A"/>
    <w:rsid w:val="009A60B6"/>
    <w:rsid w:val="009A62F2"/>
    <w:rsid w:val="009A707E"/>
    <w:rsid w:val="009A7CC7"/>
    <w:rsid w:val="009A7CEC"/>
    <w:rsid w:val="009B0DEF"/>
    <w:rsid w:val="009B1379"/>
    <w:rsid w:val="009B193A"/>
    <w:rsid w:val="009B1F47"/>
    <w:rsid w:val="009B237B"/>
    <w:rsid w:val="009B2B73"/>
    <w:rsid w:val="009B3236"/>
    <w:rsid w:val="009B3C6C"/>
    <w:rsid w:val="009B4FBE"/>
    <w:rsid w:val="009B6752"/>
    <w:rsid w:val="009C01B2"/>
    <w:rsid w:val="009C02FE"/>
    <w:rsid w:val="009C0451"/>
    <w:rsid w:val="009C09B3"/>
    <w:rsid w:val="009C1F0A"/>
    <w:rsid w:val="009C38B1"/>
    <w:rsid w:val="009C4C10"/>
    <w:rsid w:val="009C6463"/>
    <w:rsid w:val="009C64D6"/>
    <w:rsid w:val="009D07E9"/>
    <w:rsid w:val="009D0EE9"/>
    <w:rsid w:val="009D176A"/>
    <w:rsid w:val="009D17A9"/>
    <w:rsid w:val="009D1A4A"/>
    <w:rsid w:val="009D3AFF"/>
    <w:rsid w:val="009D7162"/>
    <w:rsid w:val="009D74E1"/>
    <w:rsid w:val="009D7AD5"/>
    <w:rsid w:val="009E07E2"/>
    <w:rsid w:val="009E0CA6"/>
    <w:rsid w:val="009E0CF0"/>
    <w:rsid w:val="009E1049"/>
    <w:rsid w:val="009E40E7"/>
    <w:rsid w:val="009E5515"/>
    <w:rsid w:val="009E5FC5"/>
    <w:rsid w:val="009E78A6"/>
    <w:rsid w:val="009E7D91"/>
    <w:rsid w:val="009F0123"/>
    <w:rsid w:val="009F0D50"/>
    <w:rsid w:val="009F3755"/>
    <w:rsid w:val="009F3BCF"/>
    <w:rsid w:val="009F420A"/>
    <w:rsid w:val="009F5D99"/>
    <w:rsid w:val="009F624F"/>
    <w:rsid w:val="009F71E4"/>
    <w:rsid w:val="009F7C36"/>
    <w:rsid w:val="009F7DB3"/>
    <w:rsid w:val="00A01042"/>
    <w:rsid w:val="00A01AAF"/>
    <w:rsid w:val="00A02617"/>
    <w:rsid w:val="00A02D4E"/>
    <w:rsid w:val="00A033BF"/>
    <w:rsid w:val="00A034DB"/>
    <w:rsid w:val="00A04685"/>
    <w:rsid w:val="00A0509D"/>
    <w:rsid w:val="00A0657F"/>
    <w:rsid w:val="00A06C06"/>
    <w:rsid w:val="00A10894"/>
    <w:rsid w:val="00A11252"/>
    <w:rsid w:val="00A124EF"/>
    <w:rsid w:val="00A138D2"/>
    <w:rsid w:val="00A15E37"/>
    <w:rsid w:val="00A1668E"/>
    <w:rsid w:val="00A169D1"/>
    <w:rsid w:val="00A16E54"/>
    <w:rsid w:val="00A171B5"/>
    <w:rsid w:val="00A17E6E"/>
    <w:rsid w:val="00A21DD8"/>
    <w:rsid w:val="00A238E9"/>
    <w:rsid w:val="00A23ACB"/>
    <w:rsid w:val="00A25504"/>
    <w:rsid w:val="00A26737"/>
    <w:rsid w:val="00A27B19"/>
    <w:rsid w:val="00A3060C"/>
    <w:rsid w:val="00A30998"/>
    <w:rsid w:val="00A331F8"/>
    <w:rsid w:val="00A34C03"/>
    <w:rsid w:val="00A357BF"/>
    <w:rsid w:val="00A35E4F"/>
    <w:rsid w:val="00A35F58"/>
    <w:rsid w:val="00A372A7"/>
    <w:rsid w:val="00A375A0"/>
    <w:rsid w:val="00A37C63"/>
    <w:rsid w:val="00A40417"/>
    <w:rsid w:val="00A41177"/>
    <w:rsid w:val="00A41989"/>
    <w:rsid w:val="00A42794"/>
    <w:rsid w:val="00A44C3C"/>
    <w:rsid w:val="00A4524B"/>
    <w:rsid w:val="00A4525C"/>
    <w:rsid w:val="00A45F58"/>
    <w:rsid w:val="00A46198"/>
    <w:rsid w:val="00A47163"/>
    <w:rsid w:val="00A47C08"/>
    <w:rsid w:val="00A5038D"/>
    <w:rsid w:val="00A51D25"/>
    <w:rsid w:val="00A52740"/>
    <w:rsid w:val="00A52DBD"/>
    <w:rsid w:val="00A5354B"/>
    <w:rsid w:val="00A54132"/>
    <w:rsid w:val="00A55F0D"/>
    <w:rsid w:val="00A560C8"/>
    <w:rsid w:val="00A5634E"/>
    <w:rsid w:val="00A60962"/>
    <w:rsid w:val="00A612F0"/>
    <w:rsid w:val="00A6176A"/>
    <w:rsid w:val="00A61B34"/>
    <w:rsid w:val="00A621BE"/>
    <w:rsid w:val="00A631BA"/>
    <w:rsid w:val="00A632D9"/>
    <w:rsid w:val="00A64555"/>
    <w:rsid w:val="00A6460A"/>
    <w:rsid w:val="00A661F5"/>
    <w:rsid w:val="00A672BC"/>
    <w:rsid w:val="00A67519"/>
    <w:rsid w:val="00A70979"/>
    <w:rsid w:val="00A71455"/>
    <w:rsid w:val="00A71F78"/>
    <w:rsid w:val="00A72553"/>
    <w:rsid w:val="00A73128"/>
    <w:rsid w:val="00A73BA5"/>
    <w:rsid w:val="00A7540F"/>
    <w:rsid w:val="00A75AD6"/>
    <w:rsid w:val="00A76872"/>
    <w:rsid w:val="00A7758A"/>
    <w:rsid w:val="00A778FB"/>
    <w:rsid w:val="00A77B08"/>
    <w:rsid w:val="00A80176"/>
    <w:rsid w:val="00A80258"/>
    <w:rsid w:val="00A8093B"/>
    <w:rsid w:val="00A80FD4"/>
    <w:rsid w:val="00A816EB"/>
    <w:rsid w:val="00A81E90"/>
    <w:rsid w:val="00A84803"/>
    <w:rsid w:val="00A87461"/>
    <w:rsid w:val="00A90455"/>
    <w:rsid w:val="00A90817"/>
    <w:rsid w:val="00A93B76"/>
    <w:rsid w:val="00A93DD4"/>
    <w:rsid w:val="00A95483"/>
    <w:rsid w:val="00A95A4F"/>
    <w:rsid w:val="00A95A6D"/>
    <w:rsid w:val="00A96123"/>
    <w:rsid w:val="00A9638B"/>
    <w:rsid w:val="00A97F45"/>
    <w:rsid w:val="00AA06EC"/>
    <w:rsid w:val="00AA0C6F"/>
    <w:rsid w:val="00AA307B"/>
    <w:rsid w:val="00AA42F6"/>
    <w:rsid w:val="00AA68F1"/>
    <w:rsid w:val="00AA6B76"/>
    <w:rsid w:val="00AA6CD1"/>
    <w:rsid w:val="00AB00F8"/>
    <w:rsid w:val="00AB36CF"/>
    <w:rsid w:val="00AB39A1"/>
    <w:rsid w:val="00AB52D9"/>
    <w:rsid w:val="00AB652F"/>
    <w:rsid w:val="00AB68F5"/>
    <w:rsid w:val="00AB6CE9"/>
    <w:rsid w:val="00AB6E1C"/>
    <w:rsid w:val="00AC16CC"/>
    <w:rsid w:val="00AC1EBD"/>
    <w:rsid w:val="00AC22CB"/>
    <w:rsid w:val="00AC2977"/>
    <w:rsid w:val="00AC3949"/>
    <w:rsid w:val="00AC41C7"/>
    <w:rsid w:val="00AC645A"/>
    <w:rsid w:val="00AC6ADE"/>
    <w:rsid w:val="00AC785F"/>
    <w:rsid w:val="00AD03A6"/>
    <w:rsid w:val="00AD089F"/>
    <w:rsid w:val="00AD0D6F"/>
    <w:rsid w:val="00AD1E6E"/>
    <w:rsid w:val="00AD3570"/>
    <w:rsid w:val="00AD3E25"/>
    <w:rsid w:val="00AD4A98"/>
    <w:rsid w:val="00AD7D0D"/>
    <w:rsid w:val="00AE0127"/>
    <w:rsid w:val="00AE0816"/>
    <w:rsid w:val="00AE28B0"/>
    <w:rsid w:val="00AE6113"/>
    <w:rsid w:val="00AE7B48"/>
    <w:rsid w:val="00AF0E91"/>
    <w:rsid w:val="00AF2F10"/>
    <w:rsid w:val="00AF2F37"/>
    <w:rsid w:val="00AF32F1"/>
    <w:rsid w:val="00AF37ED"/>
    <w:rsid w:val="00AF3935"/>
    <w:rsid w:val="00AF55E2"/>
    <w:rsid w:val="00AF5E8B"/>
    <w:rsid w:val="00AF6278"/>
    <w:rsid w:val="00AF70FD"/>
    <w:rsid w:val="00AF7AB7"/>
    <w:rsid w:val="00AF7BB8"/>
    <w:rsid w:val="00B0058D"/>
    <w:rsid w:val="00B00DE9"/>
    <w:rsid w:val="00B01063"/>
    <w:rsid w:val="00B02081"/>
    <w:rsid w:val="00B1027F"/>
    <w:rsid w:val="00B10828"/>
    <w:rsid w:val="00B114E4"/>
    <w:rsid w:val="00B11CA7"/>
    <w:rsid w:val="00B12431"/>
    <w:rsid w:val="00B1266E"/>
    <w:rsid w:val="00B13D12"/>
    <w:rsid w:val="00B1442C"/>
    <w:rsid w:val="00B1727E"/>
    <w:rsid w:val="00B20E3C"/>
    <w:rsid w:val="00B22EF5"/>
    <w:rsid w:val="00B234DF"/>
    <w:rsid w:val="00B25678"/>
    <w:rsid w:val="00B25AC0"/>
    <w:rsid w:val="00B30142"/>
    <w:rsid w:val="00B3066B"/>
    <w:rsid w:val="00B32333"/>
    <w:rsid w:val="00B32BA8"/>
    <w:rsid w:val="00B35235"/>
    <w:rsid w:val="00B362E5"/>
    <w:rsid w:val="00B3713D"/>
    <w:rsid w:val="00B424B3"/>
    <w:rsid w:val="00B4490B"/>
    <w:rsid w:val="00B44CE5"/>
    <w:rsid w:val="00B4598D"/>
    <w:rsid w:val="00B472D2"/>
    <w:rsid w:val="00B5311F"/>
    <w:rsid w:val="00B5560A"/>
    <w:rsid w:val="00B56B4C"/>
    <w:rsid w:val="00B56C54"/>
    <w:rsid w:val="00B57AA2"/>
    <w:rsid w:val="00B611FD"/>
    <w:rsid w:val="00B62281"/>
    <w:rsid w:val="00B623EB"/>
    <w:rsid w:val="00B62AE5"/>
    <w:rsid w:val="00B63C91"/>
    <w:rsid w:val="00B65724"/>
    <w:rsid w:val="00B6628D"/>
    <w:rsid w:val="00B71D9B"/>
    <w:rsid w:val="00B72A1C"/>
    <w:rsid w:val="00B73954"/>
    <w:rsid w:val="00B7632F"/>
    <w:rsid w:val="00B76362"/>
    <w:rsid w:val="00B7686A"/>
    <w:rsid w:val="00B76938"/>
    <w:rsid w:val="00B76B4A"/>
    <w:rsid w:val="00B76E20"/>
    <w:rsid w:val="00B81A2F"/>
    <w:rsid w:val="00B81EAD"/>
    <w:rsid w:val="00B822D7"/>
    <w:rsid w:val="00B82642"/>
    <w:rsid w:val="00B829F5"/>
    <w:rsid w:val="00B8334B"/>
    <w:rsid w:val="00B84210"/>
    <w:rsid w:val="00B8624F"/>
    <w:rsid w:val="00B864DA"/>
    <w:rsid w:val="00B911A1"/>
    <w:rsid w:val="00B9150B"/>
    <w:rsid w:val="00B91546"/>
    <w:rsid w:val="00B928D8"/>
    <w:rsid w:val="00B93F5A"/>
    <w:rsid w:val="00B943E7"/>
    <w:rsid w:val="00B94BFA"/>
    <w:rsid w:val="00B953E4"/>
    <w:rsid w:val="00B9697B"/>
    <w:rsid w:val="00BA0B7B"/>
    <w:rsid w:val="00BA0ED3"/>
    <w:rsid w:val="00BA1CC4"/>
    <w:rsid w:val="00BA1E7D"/>
    <w:rsid w:val="00BA3265"/>
    <w:rsid w:val="00BA4A7C"/>
    <w:rsid w:val="00BA5151"/>
    <w:rsid w:val="00BA726F"/>
    <w:rsid w:val="00BB29CE"/>
    <w:rsid w:val="00BB5C4E"/>
    <w:rsid w:val="00BB5EFF"/>
    <w:rsid w:val="00BB63EE"/>
    <w:rsid w:val="00BB7A6F"/>
    <w:rsid w:val="00BB7A84"/>
    <w:rsid w:val="00BC0AE0"/>
    <w:rsid w:val="00BC3342"/>
    <w:rsid w:val="00BC36CD"/>
    <w:rsid w:val="00BC4425"/>
    <w:rsid w:val="00BC4431"/>
    <w:rsid w:val="00BC571E"/>
    <w:rsid w:val="00BC5E0D"/>
    <w:rsid w:val="00BD079B"/>
    <w:rsid w:val="00BD0FA0"/>
    <w:rsid w:val="00BD2844"/>
    <w:rsid w:val="00BD3BB5"/>
    <w:rsid w:val="00BD47DB"/>
    <w:rsid w:val="00BD48A7"/>
    <w:rsid w:val="00BD53CB"/>
    <w:rsid w:val="00BD55EB"/>
    <w:rsid w:val="00BD675A"/>
    <w:rsid w:val="00BD69E9"/>
    <w:rsid w:val="00BD6BC1"/>
    <w:rsid w:val="00BD77D7"/>
    <w:rsid w:val="00BD7A9B"/>
    <w:rsid w:val="00BE11E2"/>
    <w:rsid w:val="00BE19C1"/>
    <w:rsid w:val="00BE1E7F"/>
    <w:rsid w:val="00BE243A"/>
    <w:rsid w:val="00BE31AA"/>
    <w:rsid w:val="00BE5466"/>
    <w:rsid w:val="00BE6D04"/>
    <w:rsid w:val="00BF134D"/>
    <w:rsid w:val="00BF20E3"/>
    <w:rsid w:val="00BF2466"/>
    <w:rsid w:val="00BF2EAE"/>
    <w:rsid w:val="00BF34F5"/>
    <w:rsid w:val="00BF3A99"/>
    <w:rsid w:val="00BF57FC"/>
    <w:rsid w:val="00BF7480"/>
    <w:rsid w:val="00BF7532"/>
    <w:rsid w:val="00BF796A"/>
    <w:rsid w:val="00C002B6"/>
    <w:rsid w:val="00C006A1"/>
    <w:rsid w:val="00C01287"/>
    <w:rsid w:val="00C02C55"/>
    <w:rsid w:val="00C04202"/>
    <w:rsid w:val="00C05F52"/>
    <w:rsid w:val="00C07B94"/>
    <w:rsid w:val="00C10A4B"/>
    <w:rsid w:val="00C12CC1"/>
    <w:rsid w:val="00C13103"/>
    <w:rsid w:val="00C16EC3"/>
    <w:rsid w:val="00C20448"/>
    <w:rsid w:val="00C215E9"/>
    <w:rsid w:val="00C22190"/>
    <w:rsid w:val="00C2225B"/>
    <w:rsid w:val="00C23417"/>
    <w:rsid w:val="00C2387B"/>
    <w:rsid w:val="00C2442D"/>
    <w:rsid w:val="00C26CDC"/>
    <w:rsid w:val="00C27172"/>
    <w:rsid w:val="00C273BA"/>
    <w:rsid w:val="00C27AE2"/>
    <w:rsid w:val="00C323F3"/>
    <w:rsid w:val="00C32601"/>
    <w:rsid w:val="00C33D8D"/>
    <w:rsid w:val="00C360A0"/>
    <w:rsid w:val="00C361FC"/>
    <w:rsid w:val="00C400B2"/>
    <w:rsid w:val="00C4039C"/>
    <w:rsid w:val="00C40815"/>
    <w:rsid w:val="00C40B24"/>
    <w:rsid w:val="00C413F0"/>
    <w:rsid w:val="00C41922"/>
    <w:rsid w:val="00C41B26"/>
    <w:rsid w:val="00C41DCD"/>
    <w:rsid w:val="00C42A74"/>
    <w:rsid w:val="00C45A9F"/>
    <w:rsid w:val="00C47922"/>
    <w:rsid w:val="00C47F0A"/>
    <w:rsid w:val="00C50183"/>
    <w:rsid w:val="00C50706"/>
    <w:rsid w:val="00C508CA"/>
    <w:rsid w:val="00C51292"/>
    <w:rsid w:val="00C518F1"/>
    <w:rsid w:val="00C51C48"/>
    <w:rsid w:val="00C53C3C"/>
    <w:rsid w:val="00C55144"/>
    <w:rsid w:val="00C55743"/>
    <w:rsid w:val="00C5764C"/>
    <w:rsid w:val="00C57666"/>
    <w:rsid w:val="00C57D89"/>
    <w:rsid w:val="00C6090C"/>
    <w:rsid w:val="00C61611"/>
    <w:rsid w:val="00C61BE0"/>
    <w:rsid w:val="00C65523"/>
    <w:rsid w:val="00C659ED"/>
    <w:rsid w:val="00C74A19"/>
    <w:rsid w:val="00C75E52"/>
    <w:rsid w:val="00C766D3"/>
    <w:rsid w:val="00C7731A"/>
    <w:rsid w:val="00C8050B"/>
    <w:rsid w:val="00C81DDE"/>
    <w:rsid w:val="00C81E76"/>
    <w:rsid w:val="00C82740"/>
    <w:rsid w:val="00C83F0A"/>
    <w:rsid w:val="00C83FE2"/>
    <w:rsid w:val="00C84F92"/>
    <w:rsid w:val="00C85536"/>
    <w:rsid w:val="00C8614A"/>
    <w:rsid w:val="00C86712"/>
    <w:rsid w:val="00C86B77"/>
    <w:rsid w:val="00C906A4"/>
    <w:rsid w:val="00C91213"/>
    <w:rsid w:val="00C913EE"/>
    <w:rsid w:val="00C9184F"/>
    <w:rsid w:val="00C93DF7"/>
    <w:rsid w:val="00C9427C"/>
    <w:rsid w:val="00C957E0"/>
    <w:rsid w:val="00CA1350"/>
    <w:rsid w:val="00CA203C"/>
    <w:rsid w:val="00CA3C7D"/>
    <w:rsid w:val="00CA5C9A"/>
    <w:rsid w:val="00CA6914"/>
    <w:rsid w:val="00CA7670"/>
    <w:rsid w:val="00CA77F1"/>
    <w:rsid w:val="00CB24FF"/>
    <w:rsid w:val="00CB3F19"/>
    <w:rsid w:val="00CB403C"/>
    <w:rsid w:val="00CB4672"/>
    <w:rsid w:val="00CB4D55"/>
    <w:rsid w:val="00CB5578"/>
    <w:rsid w:val="00CB6BBE"/>
    <w:rsid w:val="00CB7538"/>
    <w:rsid w:val="00CB76EF"/>
    <w:rsid w:val="00CB7766"/>
    <w:rsid w:val="00CB785F"/>
    <w:rsid w:val="00CB7AC9"/>
    <w:rsid w:val="00CC0222"/>
    <w:rsid w:val="00CC2544"/>
    <w:rsid w:val="00CC37B4"/>
    <w:rsid w:val="00CC3BB2"/>
    <w:rsid w:val="00CC475E"/>
    <w:rsid w:val="00CC5F92"/>
    <w:rsid w:val="00CC6989"/>
    <w:rsid w:val="00CC71DF"/>
    <w:rsid w:val="00CC7207"/>
    <w:rsid w:val="00CD0794"/>
    <w:rsid w:val="00CD0C93"/>
    <w:rsid w:val="00CD14E1"/>
    <w:rsid w:val="00CD1551"/>
    <w:rsid w:val="00CD1D17"/>
    <w:rsid w:val="00CD4895"/>
    <w:rsid w:val="00CD62DA"/>
    <w:rsid w:val="00CD7086"/>
    <w:rsid w:val="00CD76BF"/>
    <w:rsid w:val="00CE0345"/>
    <w:rsid w:val="00CE0EB4"/>
    <w:rsid w:val="00CE0F7D"/>
    <w:rsid w:val="00CE1308"/>
    <w:rsid w:val="00CE15A3"/>
    <w:rsid w:val="00CE2634"/>
    <w:rsid w:val="00CE28CF"/>
    <w:rsid w:val="00CE2E25"/>
    <w:rsid w:val="00CE492A"/>
    <w:rsid w:val="00CE5CA1"/>
    <w:rsid w:val="00CE6144"/>
    <w:rsid w:val="00CF0EDD"/>
    <w:rsid w:val="00CF27F9"/>
    <w:rsid w:val="00CF2F63"/>
    <w:rsid w:val="00CF300A"/>
    <w:rsid w:val="00CF4848"/>
    <w:rsid w:val="00CF6581"/>
    <w:rsid w:val="00CF7700"/>
    <w:rsid w:val="00D00324"/>
    <w:rsid w:val="00D014F7"/>
    <w:rsid w:val="00D01F39"/>
    <w:rsid w:val="00D0264F"/>
    <w:rsid w:val="00D029F5"/>
    <w:rsid w:val="00D02D61"/>
    <w:rsid w:val="00D02D8A"/>
    <w:rsid w:val="00D03B12"/>
    <w:rsid w:val="00D042CC"/>
    <w:rsid w:val="00D04DC2"/>
    <w:rsid w:val="00D072D1"/>
    <w:rsid w:val="00D102B9"/>
    <w:rsid w:val="00D10387"/>
    <w:rsid w:val="00D1044F"/>
    <w:rsid w:val="00D12F22"/>
    <w:rsid w:val="00D12F27"/>
    <w:rsid w:val="00D1340E"/>
    <w:rsid w:val="00D13DE4"/>
    <w:rsid w:val="00D148A4"/>
    <w:rsid w:val="00D14B39"/>
    <w:rsid w:val="00D164C2"/>
    <w:rsid w:val="00D174D3"/>
    <w:rsid w:val="00D20C69"/>
    <w:rsid w:val="00D22A6E"/>
    <w:rsid w:val="00D23554"/>
    <w:rsid w:val="00D265E0"/>
    <w:rsid w:val="00D303E4"/>
    <w:rsid w:val="00D30DB1"/>
    <w:rsid w:val="00D30ED3"/>
    <w:rsid w:val="00D315D7"/>
    <w:rsid w:val="00D3179E"/>
    <w:rsid w:val="00D3216E"/>
    <w:rsid w:val="00D33D8A"/>
    <w:rsid w:val="00D33DD1"/>
    <w:rsid w:val="00D36D5D"/>
    <w:rsid w:val="00D40080"/>
    <w:rsid w:val="00D4023C"/>
    <w:rsid w:val="00D41B9B"/>
    <w:rsid w:val="00D42E20"/>
    <w:rsid w:val="00D43173"/>
    <w:rsid w:val="00D4338C"/>
    <w:rsid w:val="00D4400F"/>
    <w:rsid w:val="00D448C8"/>
    <w:rsid w:val="00D4521F"/>
    <w:rsid w:val="00D46ADF"/>
    <w:rsid w:val="00D46E49"/>
    <w:rsid w:val="00D474C5"/>
    <w:rsid w:val="00D52142"/>
    <w:rsid w:val="00D549AC"/>
    <w:rsid w:val="00D54A24"/>
    <w:rsid w:val="00D54FD0"/>
    <w:rsid w:val="00D55D59"/>
    <w:rsid w:val="00D5630B"/>
    <w:rsid w:val="00D565BE"/>
    <w:rsid w:val="00D56981"/>
    <w:rsid w:val="00D57D42"/>
    <w:rsid w:val="00D60634"/>
    <w:rsid w:val="00D62907"/>
    <w:rsid w:val="00D64117"/>
    <w:rsid w:val="00D64CE3"/>
    <w:rsid w:val="00D654F4"/>
    <w:rsid w:val="00D80553"/>
    <w:rsid w:val="00D8257C"/>
    <w:rsid w:val="00D82841"/>
    <w:rsid w:val="00D839DB"/>
    <w:rsid w:val="00D844AA"/>
    <w:rsid w:val="00D8478A"/>
    <w:rsid w:val="00D85B67"/>
    <w:rsid w:val="00D85F19"/>
    <w:rsid w:val="00D86BD2"/>
    <w:rsid w:val="00D87213"/>
    <w:rsid w:val="00D8730C"/>
    <w:rsid w:val="00D900A8"/>
    <w:rsid w:val="00D90766"/>
    <w:rsid w:val="00D90DBC"/>
    <w:rsid w:val="00D91E04"/>
    <w:rsid w:val="00D92680"/>
    <w:rsid w:val="00D93298"/>
    <w:rsid w:val="00D93FEA"/>
    <w:rsid w:val="00D94F2F"/>
    <w:rsid w:val="00D96D8B"/>
    <w:rsid w:val="00D970F6"/>
    <w:rsid w:val="00D9769F"/>
    <w:rsid w:val="00DA00DE"/>
    <w:rsid w:val="00DA1021"/>
    <w:rsid w:val="00DA28E3"/>
    <w:rsid w:val="00DA434F"/>
    <w:rsid w:val="00DA4EF8"/>
    <w:rsid w:val="00DB1898"/>
    <w:rsid w:val="00DB1FEF"/>
    <w:rsid w:val="00DB295B"/>
    <w:rsid w:val="00DB330F"/>
    <w:rsid w:val="00DB357A"/>
    <w:rsid w:val="00DB42B7"/>
    <w:rsid w:val="00DB5B5D"/>
    <w:rsid w:val="00DB6723"/>
    <w:rsid w:val="00DC0BA2"/>
    <w:rsid w:val="00DC2E8B"/>
    <w:rsid w:val="00DC3020"/>
    <w:rsid w:val="00DC379C"/>
    <w:rsid w:val="00DC4A2E"/>
    <w:rsid w:val="00DC7B34"/>
    <w:rsid w:val="00DC7E4A"/>
    <w:rsid w:val="00DD00E2"/>
    <w:rsid w:val="00DD07D9"/>
    <w:rsid w:val="00DD088D"/>
    <w:rsid w:val="00DD0CCB"/>
    <w:rsid w:val="00DD1414"/>
    <w:rsid w:val="00DD43DE"/>
    <w:rsid w:val="00DD7B62"/>
    <w:rsid w:val="00DE0483"/>
    <w:rsid w:val="00DE21C4"/>
    <w:rsid w:val="00DE2EF2"/>
    <w:rsid w:val="00DE314C"/>
    <w:rsid w:val="00DE49CD"/>
    <w:rsid w:val="00DE61AA"/>
    <w:rsid w:val="00DE654F"/>
    <w:rsid w:val="00DE76E2"/>
    <w:rsid w:val="00DE7E3C"/>
    <w:rsid w:val="00DE7EB5"/>
    <w:rsid w:val="00DF1344"/>
    <w:rsid w:val="00DF15C0"/>
    <w:rsid w:val="00DF5982"/>
    <w:rsid w:val="00DF6322"/>
    <w:rsid w:val="00DF7AAC"/>
    <w:rsid w:val="00E00318"/>
    <w:rsid w:val="00E00D36"/>
    <w:rsid w:val="00E01D47"/>
    <w:rsid w:val="00E02510"/>
    <w:rsid w:val="00E048AB"/>
    <w:rsid w:val="00E05357"/>
    <w:rsid w:val="00E056EC"/>
    <w:rsid w:val="00E05A8B"/>
    <w:rsid w:val="00E06394"/>
    <w:rsid w:val="00E07649"/>
    <w:rsid w:val="00E10C4C"/>
    <w:rsid w:val="00E143B0"/>
    <w:rsid w:val="00E15A84"/>
    <w:rsid w:val="00E15EED"/>
    <w:rsid w:val="00E15F46"/>
    <w:rsid w:val="00E169F1"/>
    <w:rsid w:val="00E1704B"/>
    <w:rsid w:val="00E20668"/>
    <w:rsid w:val="00E20EFD"/>
    <w:rsid w:val="00E212BA"/>
    <w:rsid w:val="00E2239B"/>
    <w:rsid w:val="00E2273B"/>
    <w:rsid w:val="00E22EE8"/>
    <w:rsid w:val="00E26369"/>
    <w:rsid w:val="00E27A59"/>
    <w:rsid w:val="00E30886"/>
    <w:rsid w:val="00E30EBD"/>
    <w:rsid w:val="00E31B28"/>
    <w:rsid w:val="00E32F49"/>
    <w:rsid w:val="00E341B7"/>
    <w:rsid w:val="00E354F0"/>
    <w:rsid w:val="00E365B8"/>
    <w:rsid w:val="00E36D4A"/>
    <w:rsid w:val="00E37427"/>
    <w:rsid w:val="00E40699"/>
    <w:rsid w:val="00E40936"/>
    <w:rsid w:val="00E41126"/>
    <w:rsid w:val="00E4357D"/>
    <w:rsid w:val="00E451F2"/>
    <w:rsid w:val="00E45F0A"/>
    <w:rsid w:val="00E47BFE"/>
    <w:rsid w:val="00E521AD"/>
    <w:rsid w:val="00E52A51"/>
    <w:rsid w:val="00E53DFE"/>
    <w:rsid w:val="00E5413F"/>
    <w:rsid w:val="00E553B3"/>
    <w:rsid w:val="00E55FA1"/>
    <w:rsid w:val="00E56200"/>
    <w:rsid w:val="00E57CA0"/>
    <w:rsid w:val="00E60019"/>
    <w:rsid w:val="00E61217"/>
    <w:rsid w:val="00E62DA4"/>
    <w:rsid w:val="00E63E57"/>
    <w:rsid w:val="00E64602"/>
    <w:rsid w:val="00E64E6C"/>
    <w:rsid w:val="00E75187"/>
    <w:rsid w:val="00E76431"/>
    <w:rsid w:val="00E769B7"/>
    <w:rsid w:val="00E76D77"/>
    <w:rsid w:val="00E77F4C"/>
    <w:rsid w:val="00E804C7"/>
    <w:rsid w:val="00E8066A"/>
    <w:rsid w:val="00E80A64"/>
    <w:rsid w:val="00E81168"/>
    <w:rsid w:val="00E82480"/>
    <w:rsid w:val="00E83922"/>
    <w:rsid w:val="00E8398F"/>
    <w:rsid w:val="00E83A48"/>
    <w:rsid w:val="00E84B6F"/>
    <w:rsid w:val="00E8580A"/>
    <w:rsid w:val="00E85A92"/>
    <w:rsid w:val="00E85B0C"/>
    <w:rsid w:val="00E85C4A"/>
    <w:rsid w:val="00E86442"/>
    <w:rsid w:val="00E87239"/>
    <w:rsid w:val="00E8747D"/>
    <w:rsid w:val="00E902B7"/>
    <w:rsid w:val="00E906D6"/>
    <w:rsid w:val="00E90DAD"/>
    <w:rsid w:val="00E91F96"/>
    <w:rsid w:val="00E934BE"/>
    <w:rsid w:val="00E9367D"/>
    <w:rsid w:val="00E942B6"/>
    <w:rsid w:val="00E94E48"/>
    <w:rsid w:val="00E95C08"/>
    <w:rsid w:val="00E95D5C"/>
    <w:rsid w:val="00E966D7"/>
    <w:rsid w:val="00E96A1E"/>
    <w:rsid w:val="00E9735E"/>
    <w:rsid w:val="00EA0E4D"/>
    <w:rsid w:val="00EA1503"/>
    <w:rsid w:val="00EA1B75"/>
    <w:rsid w:val="00EA2278"/>
    <w:rsid w:val="00EA3DA6"/>
    <w:rsid w:val="00EA4559"/>
    <w:rsid w:val="00EA539B"/>
    <w:rsid w:val="00EA6413"/>
    <w:rsid w:val="00EA69A4"/>
    <w:rsid w:val="00EA79CB"/>
    <w:rsid w:val="00EB0C98"/>
    <w:rsid w:val="00EB105E"/>
    <w:rsid w:val="00EB2C5F"/>
    <w:rsid w:val="00EB361F"/>
    <w:rsid w:val="00EB37FF"/>
    <w:rsid w:val="00EB60BD"/>
    <w:rsid w:val="00EB753C"/>
    <w:rsid w:val="00EB78BF"/>
    <w:rsid w:val="00EC08D1"/>
    <w:rsid w:val="00EC1E3D"/>
    <w:rsid w:val="00EC2902"/>
    <w:rsid w:val="00EC328B"/>
    <w:rsid w:val="00EC3537"/>
    <w:rsid w:val="00EC3712"/>
    <w:rsid w:val="00EC4284"/>
    <w:rsid w:val="00EC4334"/>
    <w:rsid w:val="00EC55FC"/>
    <w:rsid w:val="00EC613C"/>
    <w:rsid w:val="00EC66A7"/>
    <w:rsid w:val="00ED020F"/>
    <w:rsid w:val="00ED2866"/>
    <w:rsid w:val="00ED2D60"/>
    <w:rsid w:val="00ED3B0F"/>
    <w:rsid w:val="00ED3C1C"/>
    <w:rsid w:val="00ED4500"/>
    <w:rsid w:val="00ED5546"/>
    <w:rsid w:val="00ED5897"/>
    <w:rsid w:val="00ED5B73"/>
    <w:rsid w:val="00ED6260"/>
    <w:rsid w:val="00ED65B7"/>
    <w:rsid w:val="00ED6629"/>
    <w:rsid w:val="00ED6D45"/>
    <w:rsid w:val="00ED7680"/>
    <w:rsid w:val="00ED76E6"/>
    <w:rsid w:val="00ED7F24"/>
    <w:rsid w:val="00EE0492"/>
    <w:rsid w:val="00EE06A8"/>
    <w:rsid w:val="00EE2320"/>
    <w:rsid w:val="00EE3627"/>
    <w:rsid w:val="00EE575F"/>
    <w:rsid w:val="00EE65F1"/>
    <w:rsid w:val="00EE6CE6"/>
    <w:rsid w:val="00EE70F0"/>
    <w:rsid w:val="00EE7733"/>
    <w:rsid w:val="00EE7793"/>
    <w:rsid w:val="00EE790C"/>
    <w:rsid w:val="00EE7F04"/>
    <w:rsid w:val="00EF085D"/>
    <w:rsid w:val="00EF1280"/>
    <w:rsid w:val="00EF1352"/>
    <w:rsid w:val="00EF340C"/>
    <w:rsid w:val="00EF5148"/>
    <w:rsid w:val="00EF62A9"/>
    <w:rsid w:val="00EF6BF9"/>
    <w:rsid w:val="00EF7F7A"/>
    <w:rsid w:val="00F02A4A"/>
    <w:rsid w:val="00F03319"/>
    <w:rsid w:val="00F03623"/>
    <w:rsid w:val="00F07497"/>
    <w:rsid w:val="00F0755D"/>
    <w:rsid w:val="00F077B8"/>
    <w:rsid w:val="00F1326B"/>
    <w:rsid w:val="00F145CB"/>
    <w:rsid w:val="00F1480E"/>
    <w:rsid w:val="00F148AE"/>
    <w:rsid w:val="00F14A96"/>
    <w:rsid w:val="00F14EA1"/>
    <w:rsid w:val="00F15DE2"/>
    <w:rsid w:val="00F168DA"/>
    <w:rsid w:val="00F16FF3"/>
    <w:rsid w:val="00F17FDA"/>
    <w:rsid w:val="00F20809"/>
    <w:rsid w:val="00F2244E"/>
    <w:rsid w:val="00F235A4"/>
    <w:rsid w:val="00F25B52"/>
    <w:rsid w:val="00F261C9"/>
    <w:rsid w:val="00F31041"/>
    <w:rsid w:val="00F314F1"/>
    <w:rsid w:val="00F31C65"/>
    <w:rsid w:val="00F31F82"/>
    <w:rsid w:val="00F326BF"/>
    <w:rsid w:val="00F34A2D"/>
    <w:rsid w:val="00F35145"/>
    <w:rsid w:val="00F36079"/>
    <w:rsid w:val="00F368EE"/>
    <w:rsid w:val="00F406AE"/>
    <w:rsid w:val="00F4332C"/>
    <w:rsid w:val="00F4410F"/>
    <w:rsid w:val="00F44401"/>
    <w:rsid w:val="00F44AE8"/>
    <w:rsid w:val="00F456CF"/>
    <w:rsid w:val="00F45770"/>
    <w:rsid w:val="00F45DCB"/>
    <w:rsid w:val="00F460C9"/>
    <w:rsid w:val="00F469F2"/>
    <w:rsid w:val="00F47745"/>
    <w:rsid w:val="00F503EC"/>
    <w:rsid w:val="00F51045"/>
    <w:rsid w:val="00F5180E"/>
    <w:rsid w:val="00F52DB4"/>
    <w:rsid w:val="00F52DDA"/>
    <w:rsid w:val="00F52E31"/>
    <w:rsid w:val="00F55017"/>
    <w:rsid w:val="00F5520E"/>
    <w:rsid w:val="00F55B11"/>
    <w:rsid w:val="00F55D57"/>
    <w:rsid w:val="00F5696D"/>
    <w:rsid w:val="00F56B9F"/>
    <w:rsid w:val="00F56D3C"/>
    <w:rsid w:val="00F57DD6"/>
    <w:rsid w:val="00F6023F"/>
    <w:rsid w:val="00F623D6"/>
    <w:rsid w:val="00F624B5"/>
    <w:rsid w:val="00F6327C"/>
    <w:rsid w:val="00F637D1"/>
    <w:rsid w:val="00F64431"/>
    <w:rsid w:val="00F64CDC"/>
    <w:rsid w:val="00F65059"/>
    <w:rsid w:val="00F655A2"/>
    <w:rsid w:val="00F66642"/>
    <w:rsid w:val="00F66AD4"/>
    <w:rsid w:val="00F67C2D"/>
    <w:rsid w:val="00F72212"/>
    <w:rsid w:val="00F7565C"/>
    <w:rsid w:val="00F763D6"/>
    <w:rsid w:val="00F76DEE"/>
    <w:rsid w:val="00F778A5"/>
    <w:rsid w:val="00F811F1"/>
    <w:rsid w:val="00F81576"/>
    <w:rsid w:val="00F83C86"/>
    <w:rsid w:val="00F83E77"/>
    <w:rsid w:val="00F84633"/>
    <w:rsid w:val="00F851E2"/>
    <w:rsid w:val="00F852E9"/>
    <w:rsid w:val="00F85A13"/>
    <w:rsid w:val="00F85BE8"/>
    <w:rsid w:val="00F870FF"/>
    <w:rsid w:val="00F87484"/>
    <w:rsid w:val="00F904BA"/>
    <w:rsid w:val="00F90786"/>
    <w:rsid w:val="00F91140"/>
    <w:rsid w:val="00F91260"/>
    <w:rsid w:val="00F91F5A"/>
    <w:rsid w:val="00F922C5"/>
    <w:rsid w:val="00F92962"/>
    <w:rsid w:val="00F93DC1"/>
    <w:rsid w:val="00F94556"/>
    <w:rsid w:val="00F94CA8"/>
    <w:rsid w:val="00F94D05"/>
    <w:rsid w:val="00F963A8"/>
    <w:rsid w:val="00F9661F"/>
    <w:rsid w:val="00F96E85"/>
    <w:rsid w:val="00FA0732"/>
    <w:rsid w:val="00FA2A10"/>
    <w:rsid w:val="00FA2E87"/>
    <w:rsid w:val="00FA3A70"/>
    <w:rsid w:val="00FA3F23"/>
    <w:rsid w:val="00FA45B8"/>
    <w:rsid w:val="00FA45C7"/>
    <w:rsid w:val="00FA5626"/>
    <w:rsid w:val="00FA5F83"/>
    <w:rsid w:val="00FA6029"/>
    <w:rsid w:val="00FA68A4"/>
    <w:rsid w:val="00FA6B4C"/>
    <w:rsid w:val="00FA6F9A"/>
    <w:rsid w:val="00FA776B"/>
    <w:rsid w:val="00FA781B"/>
    <w:rsid w:val="00FA7E39"/>
    <w:rsid w:val="00FB0781"/>
    <w:rsid w:val="00FB08B4"/>
    <w:rsid w:val="00FB1A2C"/>
    <w:rsid w:val="00FB1C66"/>
    <w:rsid w:val="00FB2581"/>
    <w:rsid w:val="00FB273B"/>
    <w:rsid w:val="00FB2F8C"/>
    <w:rsid w:val="00FB36D8"/>
    <w:rsid w:val="00FB3A6B"/>
    <w:rsid w:val="00FB3BB5"/>
    <w:rsid w:val="00FB3CD9"/>
    <w:rsid w:val="00FB462F"/>
    <w:rsid w:val="00FB4D93"/>
    <w:rsid w:val="00FB5E72"/>
    <w:rsid w:val="00FB67E7"/>
    <w:rsid w:val="00FB6A79"/>
    <w:rsid w:val="00FC02C0"/>
    <w:rsid w:val="00FC12B9"/>
    <w:rsid w:val="00FC292A"/>
    <w:rsid w:val="00FC2B3E"/>
    <w:rsid w:val="00FC3503"/>
    <w:rsid w:val="00FC4F46"/>
    <w:rsid w:val="00FC5383"/>
    <w:rsid w:val="00FC6042"/>
    <w:rsid w:val="00FC63B3"/>
    <w:rsid w:val="00FD0419"/>
    <w:rsid w:val="00FD06F9"/>
    <w:rsid w:val="00FD0D28"/>
    <w:rsid w:val="00FD12EB"/>
    <w:rsid w:val="00FD19F7"/>
    <w:rsid w:val="00FD2A45"/>
    <w:rsid w:val="00FD373C"/>
    <w:rsid w:val="00FD3A55"/>
    <w:rsid w:val="00FD43B3"/>
    <w:rsid w:val="00FD47AE"/>
    <w:rsid w:val="00FD49B2"/>
    <w:rsid w:val="00FD4B12"/>
    <w:rsid w:val="00FD5A93"/>
    <w:rsid w:val="00FD7BB8"/>
    <w:rsid w:val="00FE1405"/>
    <w:rsid w:val="00FE1577"/>
    <w:rsid w:val="00FE189D"/>
    <w:rsid w:val="00FE2333"/>
    <w:rsid w:val="00FE262F"/>
    <w:rsid w:val="00FE4542"/>
    <w:rsid w:val="00FE510F"/>
    <w:rsid w:val="00FE6DC3"/>
    <w:rsid w:val="00FE6DC8"/>
    <w:rsid w:val="00FF101F"/>
    <w:rsid w:val="00FF1335"/>
    <w:rsid w:val="00FF1717"/>
    <w:rsid w:val="00FF3270"/>
    <w:rsid w:val="00FF367F"/>
    <w:rsid w:val="00FF4CC2"/>
    <w:rsid w:val="00FF5004"/>
    <w:rsid w:val="00FF7EA4"/>
    <w:rsid w:val="01361F25"/>
    <w:rsid w:val="01542C05"/>
    <w:rsid w:val="02FA5D9E"/>
    <w:rsid w:val="0304092B"/>
    <w:rsid w:val="031615D6"/>
    <w:rsid w:val="03DD574D"/>
    <w:rsid w:val="058C0A42"/>
    <w:rsid w:val="05AB5D01"/>
    <w:rsid w:val="06F260C7"/>
    <w:rsid w:val="08B92B0D"/>
    <w:rsid w:val="0A713492"/>
    <w:rsid w:val="0D2873B0"/>
    <w:rsid w:val="0D371E23"/>
    <w:rsid w:val="0E044513"/>
    <w:rsid w:val="0E35096D"/>
    <w:rsid w:val="0E7C2308"/>
    <w:rsid w:val="0ECB6A70"/>
    <w:rsid w:val="0FB84464"/>
    <w:rsid w:val="10105084"/>
    <w:rsid w:val="10677D54"/>
    <w:rsid w:val="127C1827"/>
    <w:rsid w:val="12DF75AB"/>
    <w:rsid w:val="14216025"/>
    <w:rsid w:val="14DD5842"/>
    <w:rsid w:val="14FA353A"/>
    <w:rsid w:val="15371478"/>
    <w:rsid w:val="15860E9D"/>
    <w:rsid w:val="16DC051F"/>
    <w:rsid w:val="174B471A"/>
    <w:rsid w:val="1C6117C2"/>
    <w:rsid w:val="1D032331"/>
    <w:rsid w:val="1F0816C9"/>
    <w:rsid w:val="1FE926A9"/>
    <w:rsid w:val="20A7291B"/>
    <w:rsid w:val="23D124A2"/>
    <w:rsid w:val="258435D0"/>
    <w:rsid w:val="262A60D6"/>
    <w:rsid w:val="264215EE"/>
    <w:rsid w:val="26650B1B"/>
    <w:rsid w:val="26B21D43"/>
    <w:rsid w:val="27475964"/>
    <w:rsid w:val="276D3BF8"/>
    <w:rsid w:val="27E3B3FB"/>
    <w:rsid w:val="282F300C"/>
    <w:rsid w:val="28685508"/>
    <w:rsid w:val="288A70A3"/>
    <w:rsid w:val="28ED0D31"/>
    <w:rsid w:val="2B8B7833"/>
    <w:rsid w:val="2C20546A"/>
    <w:rsid w:val="2EAE5EA6"/>
    <w:rsid w:val="2EDC7C6F"/>
    <w:rsid w:val="2F385DAE"/>
    <w:rsid w:val="2FFF1ECA"/>
    <w:rsid w:val="32B21232"/>
    <w:rsid w:val="372FB4D1"/>
    <w:rsid w:val="37778FAB"/>
    <w:rsid w:val="381D1386"/>
    <w:rsid w:val="39F79A9E"/>
    <w:rsid w:val="3A2067BE"/>
    <w:rsid w:val="3A7DE750"/>
    <w:rsid w:val="3B1F0670"/>
    <w:rsid w:val="3CEFB001"/>
    <w:rsid w:val="3D6803AF"/>
    <w:rsid w:val="3E330175"/>
    <w:rsid w:val="3EDD1E50"/>
    <w:rsid w:val="41D77D08"/>
    <w:rsid w:val="43196669"/>
    <w:rsid w:val="43242558"/>
    <w:rsid w:val="437B41C1"/>
    <w:rsid w:val="437BC72F"/>
    <w:rsid w:val="43CC2BFE"/>
    <w:rsid w:val="456B204C"/>
    <w:rsid w:val="45A34199"/>
    <w:rsid w:val="48224E98"/>
    <w:rsid w:val="4B0D70B1"/>
    <w:rsid w:val="4CF601C0"/>
    <w:rsid w:val="4DD91884"/>
    <w:rsid w:val="4E241556"/>
    <w:rsid w:val="4EEB0BFA"/>
    <w:rsid w:val="4FFF8AF9"/>
    <w:rsid w:val="507331A8"/>
    <w:rsid w:val="508F1332"/>
    <w:rsid w:val="54764A1D"/>
    <w:rsid w:val="5575398D"/>
    <w:rsid w:val="557847B6"/>
    <w:rsid w:val="5653618B"/>
    <w:rsid w:val="56EC4E33"/>
    <w:rsid w:val="56FA131E"/>
    <w:rsid w:val="57AD0ABC"/>
    <w:rsid w:val="588A4BC8"/>
    <w:rsid w:val="59197F98"/>
    <w:rsid w:val="599F77EF"/>
    <w:rsid w:val="5B3F53D4"/>
    <w:rsid w:val="5BBF99AD"/>
    <w:rsid w:val="5BFF1848"/>
    <w:rsid w:val="5C6E6A05"/>
    <w:rsid w:val="5D283BDE"/>
    <w:rsid w:val="5DAC51B8"/>
    <w:rsid w:val="5DCF4F19"/>
    <w:rsid w:val="5FBB029F"/>
    <w:rsid w:val="5FE8E4B0"/>
    <w:rsid w:val="5FEDDC8F"/>
    <w:rsid w:val="60944BAD"/>
    <w:rsid w:val="63641219"/>
    <w:rsid w:val="63F7794F"/>
    <w:rsid w:val="64B24950"/>
    <w:rsid w:val="65377A2B"/>
    <w:rsid w:val="65E996FE"/>
    <w:rsid w:val="67342E9C"/>
    <w:rsid w:val="677F859A"/>
    <w:rsid w:val="67FF7DB2"/>
    <w:rsid w:val="682318C8"/>
    <w:rsid w:val="68B24209"/>
    <w:rsid w:val="6B4E266A"/>
    <w:rsid w:val="6BBCAA82"/>
    <w:rsid w:val="6BEE19C7"/>
    <w:rsid w:val="6CFF3B5C"/>
    <w:rsid w:val="6D17167B"/>
    <w:rsid w:val="6EF35684"/>
    <w:rsid w:val="6F7B5FD4"/>
    <w:rsid w:val="6FA720C8"/>
    <w:rsid w:val="6FCB58C4"/>
    <w:rsid w:val="6FE27E55"/>
    <w:rsid w:val="6FF8C7A9"/>
    <w:rsid w:val="70907537"/>
    <w:rsid w:val="70FC607A"/>
    <w:rsid w:val="71BBA89B"/>
    <w:rsid w:val="72D00AAA"/>
    <w:rsid w:val="73B459FF"/>
    <w:rsid w:val="74FD0419"/>
    <w:rsid w:val="75E54A7C"/>
    <w:rsid w:val="76772BE8"/>
    <w:rsid w:val="76A57200"/>
    <w:rsid w:val="76FF51D7"/>
    <w:rsid w:val="77E9A7E4"/>
    <w:rsid w:val="77FF854F"/>
    <w:rsid w:val="787D516D"/>
    <w:rsid w:val="7880444F"/>
    <w:rsid w:val="78BE271B"/>
    <w:rsid w:val="794972F3"/>
    <w:rsid w:val="7A1D026A"/>
    <w:rsid w:val="7B5F5404"/>
    <w:rsid w:val="7D3C7273"/>
    <w:rsid w:val="7D7F50C3"/>
    <w:rsid w:val="7E6F4E5B"/>
    <w:rsid w:val="7EDBDF42"/>
    <w:rsid w:val="7EED9E5F"/>
    <w:rsid w:val="7EFFAA29"/>
    <w:rsid w:val="7F72D7C7"/>
    <w:rsid w:val="7F7EA7EF"/>
    <w:rsid w:val="7FDADDAF"/>
    <w:rsid w:val="7FDFA29B"/>
    <w:rsid w:val="7FE9D6ED"/>
    <w:rsid w:val="7FFF0918"/>
    <w:rsid w:val="7FFFA09C"/>
    <w:rsid w:val="9EDF26ED"/>
    <w:rsid w:val="9F77159F"/>
    <w:rsid w:val="9F96CA2E"/>
    <w:rsid w:val="AE6A67C4"/>
    <w:rsid w:val="AF7D14FB"/>
    <w:rsid w:val="B3DB8163"/>
    <w:rsid w:val="B47F0E6F"/>
    <w:rsid w:val="BBFBC9D8"/>
    <w:rsid w:val="BD5BE88D"/>
    <w:rsid w:val="BF37551C"/>
    <w:rsid w:val="BFAFD7D8"/>
    <w:rsid w:val="BFFFC7A7"/>
    <w:rsid w:val="CCD3EFD6"/>
    <w:rsid w:val="CCDC8FD4"/>
    <w:rsid w:val="CE5F5DE9"/>
    <w:rsid w:val="CEFE1A1A"/>
    <w:rsid w:val="D74DA973"/>
    <w:rsid w:val="DBDF0B68"/>
    <w:rsid w:val="DEF5D70D"/>
    <w:rsid w:val="DEF9934C"/>
    <w:rsid w:val="DF3C8898"/>
    <w:rsid w:val="DFD6070F"/>
    <w:rsid w:val="DFFF6C99"/>
    <w:rsid w:val="DFFF8719"/>
    <w:rsid w:val="E7AD2F17"/>
    <w:rsid w:val="ECFF6763"/>
    <w:rsid w:val="EEC2BD27"/>
    <w:rsid w:val="EFE624E3"/>
    <w:rsid w:val="EFF9F689"/>
    <w:rsid w:val="F0FB6463"/>
    <w:rsid w:val="F1670022"/>
    <w:rsid w:val="F1FF5D17"/>
    <w:rsid w:val="F3DB1691"/>
    <w:rsid w:val="F78149DA"/>
    <w:rsid w:val="F7FF1236"/>
    <w:rsid w:val="FB1CDE66"/>
    <w:rsid w:val="FBFCA890"/>
    <w:rsid w:val="FBFF8300"/>
    <w:rsid w:val="FC3303B7"/>
    <w:rsid w:val="FC6D0398"/>
    <w:rsid w:val="FC7DA730"/>
    <w:rsid w:val="FCFE034C"/>
    <w:rsid w:val="FDAE57D9"/>
    <w:rsid w:val="FDDF88EE"/>
    <w:rsid w:val="FEE98D84"/>
    <w:rsid w:val="FEFDDECB"/>
    <w:rsid w:val="FFB7D773"/>
    <w:rsid w:val="FFBF0A2B"/>
    <w:rsid w:val="FFEFDA30"/>
    <w:rsid w:val="FFEFF027"/>
    <w:rsid w:val="FFFA6429"/>
    <w:rsid w:val="FFFAE7AE"/>
    <w:rsid w:val="FFFF1E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iPriority="0" w:name="Body Text Indent 2"/>
    <w:lsdException w:qFormat="1" w:uiPriority="99" w:name="Body Text Indent 3"/>
    <w:lsdException w:uiPriority="0" w:name="Block Text"/>
    <w:lsdException w:qFormat="1" w:uiPriority="99" w:semiHidden="0" w:name="Hyperlink"/>
    <w:lsdException w:uiPriority="0" w:name="FollowedHyperlink"/>
    <w:lsdException w:qFormat="1" w:unhideWhenUsed="0" w:uiPriority="0" w:semiHidden="0" w:name="Strong"/>
    <w:lsdException w:unhideWhenUsed="0" w:uiPriority="0" w:semiHidden="0" w:name="Emphasis"/>
    <w:lsdException w:qFormat="1" w:uiPriority="99" w:name="Document Map"/>
    <w:lsdException w:qFormat="1" w:unhideWhenUsed="0" w:uiPriority="99" w:semiHidden="0" w:name="Plain Text"/>
    <w:lsdException w:uiPriority="0" w:name="E-mail Signature"/>
    <w:lsdException w:qFormat="1" w:uiPriority="0"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9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480" w:lineRule="exact"/>
      <w:ind w:firstLine="200" w:firstLineChars="200"/>
      <w:jc w:val="both"/>
    </w:pPr>
    <w:rPr>
      <w:rFonts w:ascii="Times New Roman" w:hAnsi="Times New Roman" w:eastAsia="宋体" w:cs="Times New Roman"/>
      <w:kern w:val="2"/>
      <w:sz w:val="24"/>
      <w:szCs w:val="22"/>
      <w:lang w:val="en-US" w:eastAsia="zh-CN" w:bidi="ar-SA"/>
    </w:rPr>
  </w:style>
  <w:style w:type="paragraph" w:styleId="4">
    <w:name w:val="heading 1"/>
    <w:basedOn w:val="1"/>
    <w:next w:val="1"/>
    <w:link w:val="114"/>
    <w:autoRedefine/>
    <w:qFormat/>
    <w:uiPriority w:val="9"/>
    <w:pPr>
      <w:keepNext/>
      <w:keepLines/>
      <w:spacing w:line="360" w:lineRule="auto"/>
      <w:ind w:firstLine="0" w:firstLineChars="0"/>
      <w:outlineLvl w:val="0"/>
    </w:pPr>
    <w:rPr>
      <w:b/>
      <w:bCs/>
      <w:kern w:val="44"/>
      <w:sz w:val="32"/>
      <w:szCs w:val="44"/>
    </w:rPr>
  </w:style>
  <w:style w:type="paragraph" w:styleId="5">
    <w:name w:val="heading 2"/>
    <w:basedOn w:val="1"/>
    <w:next w:val="1"/>
    <w:link w:val="77"/>
    <w:autoRedefine/>
    <w:qFormat/>
    <w:uiPriority w:val="9"/>
    <w:pPr>
      <w:keepNext/>
      <w:keepLines/>
      <w:spacing w:before="100" w:after="100" w:line="500" w:lineRule="exact"/>
      <w:ind w:firstLine="0" w:firstLineChars="0"/>
      <w:outlineLvl w:val="1"/>
    </w:pPr>
    <w:rPr>
      <w:b/>
      <w:bCs/>
      <w:sz w:val="30"/>
      <w:szCs w:val="32"/>
    </w:rPr>
  </w:style>
  <w:style w:type="paragraph" w:styleId="6">
    <w:name w:val="heading 3"/>
    <w:basedOn w:val="1"/>
    <w:next w:val="1"/>
    <w:link w:val="78"/>
    <w:autoRedefine/>
    <w:qFormat/>
    <w:uiPriority w:val="9"/>
    <w:pPr>
      <w:keepNext/>
      <w:keepLines/>
      <w:spacing w:before="60" w:after="60" w:line="500" w:lineRule="atLeast"/>
      <w:ind w:firstLine="0" w:firstLineChars="0"/>
      <w:outlineLvl w:val="2"/>
    </w:pPr>
    <w:rPr>
      <w:b/>
      <w:bCs/>
      <w:sz w:val="28"/>
      <w:szCs w:val="32"/>
    </w:rPr>
  </w:style>
  <w:style w:type="paragraph" w:styleId="7">
    <w:name w:val="heading 4"/>
    <w:basedOn w:val="1"/>
    <w:next w:val="1"/>
    <w:link w:val="115"/>
    <w:autoRedefine/>
    <w:qFormat/>
    <w:uiPriority w:val="0"/>
    <w:pPr>
      <w:keepNext/>
      <w:keepLines/>
      <w:spacing w:line="500" w:lineRule="exact"/>
      <w:ind w:firstLine="0" w:firstLineChars="0"/>
      <w:outlineLvl w:val="3"/>
    </w:pPr>
    <w:rPr>
      <w:b/>
      <w:bCs/>
      <w:szCs w:val="28"/>
    </w:rPr>
  </w:style>
  <w:style w:type="paragraph" w:styleId="8">
    <w:name w:val="heading 5"/>
    <w:basedOn w:val="1"/>
    <w:next w:val="1"/>
    <w:link w:val="116"/>
    <w:autoRedefine/>
    <w:semiHidden/>
    <w:unhideWhenUsed/>
    <w:qFormat/>
    <w:uiPriority w:val="9"/>
    <w:pPr>
      <w:keepNext/>
      <w:keepLines/>
      <w:spacing w:before="280" w:after="290" w:line="376" w:lineRule="atLeast"/>
      <w:outlineLvl w:val="4"/>
    </w:pPr>
    <w:rPr>
      <w:b/>
      <w:bCs/>
      <w:sz w:val="28"/>
      <w:szCs w:val="28"/>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3"/>
    <w:link w:val="66"/>
    <w:autoRedefine/>
    <w:qFormat/>
    <w:uiPriority w:val="0"/>
  </w:style>
  <w:style w:type="paragraph" w:styleId="3">
    <w:name w:val="Plain Text"/>
    <w:basedOn w:val="1"/>
    <w:link w:val="87"/>
    <w:autoRedefine/>
    <w:qFormat/>
    <w:uiPriority w:val="99"/>
    <w:pPr>
      <w:spacing w:line="360" w:lineRule="auto"/>
    </w:pPr>
    <w:rPr>
      <w:rFonts w:cs="Courier New"/>
      <w:szCs w:val="21"/>
    </w:rPr>
  </w:style>
  <w:style w:type="paragraph" w:styleId="9">
    <w:name w:val="toc 7"/>
    <w:basedOn w:val="1"/>
    <w:next w:val="1"/>
    <w:autoRedefine/>
    <w:unhideWhenUsed/>
    <w:qFormat/>
    <w:uiPriority w:val="39"/>
    <w:pPr>
      <w:spacing w:line="240" w:lineRule="auto"/>
      <w:ind w:left="2520" w:leftChars="1200" w:firstLine="0" w:firstLineChars="0"/>
    </w:pPr>
    <w:rPr>
      <w:rFonts w:asciiTheme="minorHAnsi" w:hAnsiTheme="minorHAnsi" w:eastAsiaTheme="minorEastAsia" w:cstheme="minorBidi"/>
      <w:sz w:val="21"/>
    </w:rPr>
  </w:style>
  <w:style w:type="paragraph" w:styleId="10">
    <w:name w:val="caption"/>
    <w:basedOn w:val="1"/>
    <w:next w:val="1"/>
    <w:autoRedefine/>
    <w:unhideWhenUsed/>
    <w:qFormat/>
    <w:uiPriority w:val="0"/>
    <w:pPr>
      <w:spacing w:before="120" w:after="120" w:line="288" w:lineRule="auto"/>
      <w:ind w:firstLine="510"/>
      <w:jc w:val="center"/>
    </w:pPr>
    <w:rPr>
      <w:rFonts w:ascii="黑体" w:hAnsi="Arial" w:eastAsia="黑体"/>
      <w:b/>
    </w:rPr>
  </w:style>
  <w:style w:type="paragraph" w:styleId="11">
    <w:name w:val="Document Map"/>
    <w:basedOn w:val="1"/>
    <w:link w:val="120"/>
    <w:autoRedefine/>
    <w:semiHidden/>
    <w:unhideWhenUsed/>
    <w:qFormat/>
    <w:uiPriority w:val="99"/>
    <w:pPr>
      <w:spacing w:line="500" w:lineRule="exact"/>
    </w:pPr>
    <w:rPr>
      <w:rFonts w:ascii="宋体"/>
      <w:sz w:val="18"/>
      <w:szCs w:val="18"/>
    </w:rPr>
  </w:style>
  <w:style w:type="paragraph" w:styleId="12">
    <w:name w:val="annotation text"/>
    <w:basedOn w:val="1"/>
    <w:link w:val="88"/>
    <w:autoRedefine/>
    <w:qFormat/>
    <w:uiPriority w:val="0"/>
    <w:pPr>
      <w:jc w:val="left"/>
    </w:pPr>
  </w:style>
  <w:style w:type="paragraph" w:styleId="13">
    <w:name w:val="Body Text"/>
    <w:basedOn w:val="1"/>
    <w:next w:val="1"/>
    <w:link w:val="84"/>
    <w:autoRedefine/>
    <w:qFormat/>
    <w:uiPriority w:val="0"/>
  </w:style>
  <w:style w:type="paragraph" w:styleId="14">
    <w:name w:val="Body Text Indent"/>
    <w:basedOn w:val="1"/>
    <w:link w:val="136"/>
    <w:autoRedefine/>
    <w:qFormat/>
    <w:uiPriority w:val="99"/>
    <w:pPr>
      <w:spacing w:line="340" w:lineRule="exact"/>
      <w:ind w:firstLine="522"/>
    </w:pPr>
    <w:rPr>
      <w:color w:val="000000"/>
      <w:sz w:val="28"/>
      <w:szCs w:val="20"/>
    </w:rPr>
  </w:style>
  <w:style w:type="paragraph" w:styleId="15">
    <w:name w:val="toc 5"/>
    <w:basedOn w:val="1"/>
    <w:next w:val="1"/>
    <w:autoRedefine/>
    <w:unhideWhenUsed/>
    <w:qFormat/>
    <w:uiPriority w:val="39"/>
    <w:pPr>
      <w:spacing w:line="240" w:lineRule="auto"/>
      <w:ind w:left="1680" w:leftChars="800" w:firstLine="0" w:firstLineChars="0"/>
    </w:pPr>
    <w:rPr>
      <w:rFonts w:asciiTheme="minorHAnsi" w:hAnsiTheme="minorHAnsi" w:eastAsiaTheme="minorEastAsia" w:cstheme="minorBidi"/>
      <w:sz w:val="21"/>
    </w:rPr>
  </w:style>
  <w:style w:type="paragraph" w:styleId="16">
    <w:name w:val="toc 3"/>
    <w:basedOn w:val="1"/>
    <w:next w:val="1"/>
    <w:autoRedefine/>
    <w:qFormat/>
    <w:uiPriority w:val="39"/>
    <w:pPr>
      <w:ind w:left="840" w:leftChars="400"/>
    </w:pPr>
  </w:style>
  <w:style w:type="paragraph" w:styleId="17">
    <w:name w:val="toc 8"/>
    <w:basedOn w:val="1"/>
    <w:next w:val="1"/>
    <w:autoRedefine/>
    <w:unhideWhenUsed/>
    <w:qFormat/>
    <w:uiPriority w:val="39"/>
    <w:pPr>
      <w:spacing w:line="240" w:lineRule="auto"/>
      <w:ind w:left="2940" w:leftChars="1400" w:firstLine="0" w:firstLineChars="0"/>
    </w:pPr>
    <w:rPr>
      <w:rFonts w:asciiTheme="minorHAnsi" w:hAnsiTheme="minorHAnsi" w:eastAsiaTheme="minorEastAsia" w:cstheme="minorBidi"/>
      <w:sz w:val="21"/>
    </w:rPr>
  </w:style>
  <w:style w:type="paragraph" w:styleId="18">
    <w:name w:val="Date"/>
    <w:basedOn w:val="1"/>
    <w:next w:val="1"/>
    <w:link w:val="133"/>
    <w:autoRedefine/>
    <w:qFormat/>
    <w:uiPriority w:val="0"/>
    <w:pPr>
      <w:ind w:left="100" w:leftChars="2500"/>
    </w:pPr>
  </w:style>
  <w:style w:type="paragraph" w:styleId="19">
    <w:name w:val="Body Text Indent 2"/>
    <w:basedOn w:val="1"/>
    <w:link w:val="117"/>
    <w:autoRedefine/>
    <w:semiHidden/>
    <w:unhideWhenUsed/>
    <w:qFormat/>
    <w:uiPriority w:val="0"/>
    <w:pPr>
      <w:spacing w:after="120" w:line="480" w:lineRule="auto"/>
      <w:ind w:left="420" w:leftChars="200"/>
    </w:pPr>
  </w:style>
  <w:style w:type="paragraph" w:styleId="20">
    <w:name w:val="Balloon Text"/>
    <w:basedOn w:val="1"/>
    <w:link w:val="64"/>
    <w:autoRedefine/>
    <w:qFormat/>
    <w:uiPriority w:val="99"/>
    <w:pPr>
      <w:spacing w:line="240" w:lineRule="auto"/>
    </w:pPr>
    <w:rPr>
      <w:sz w:val="18"/>
      <w:szCs w:val="18"/>
    </w:rPr>
  </w:style>
  <w:style w:type="paragraph" w:styleId="21">
    <w:name w:val="footer"/>
    <w:basedOn w:val="1"/>
    <w:link w:val="100"/>
    <w:autoRedefine/>
    <w:qFormat/>
    <w:uiPriority w:val="99"/>
    <w:pPr>
      <w:tabs>
        <w:tab w:val="center" w:pos="4153"/>
        <w:tab w:val="right" w:pos="8306"/>
      </w:tabs>
      <w:snapToGrid w:val="0"/>
      <w:jc w:val="left"/>
    </w:pPr>
    <w:rPr>
      <w:sz w:val="18"/>
    </w:rPr>
  </w:style>
  <w:style w:type="paragraph" w:styleId="22">
    <w:name w:val="header"/>
    <w:basedOn w:val="1"/>
    <w:link w:val="123"/>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rFonts w:ascii="DejaVu Sans" w:hAnsi="DejaVu Sans"/>
      <w:sz w:val="18"/>
    </w:rPr>
  </w:style>
  <w:style w:type="paragraph" w:styleId="23">
    <w:name w:val="toc 1"/>
    <w:basedOn w:val="1"/>
    <w:next w:val="1"/>
    <w:autoRedefine/>
    <w:qFormat/>
    <w:uiPriority w:val="39"/>
  </w:style>
  <w:style w:type="paragraph" w:styleId="24">
    <w:name w:val="toc 4"/>
    <w:basedOn w:val="1"/>
    <w:next w:val="1"/>
    <w:autoRedefine/>
    <w:unhideWhenUsed/>
    <w:qFormat/>
    <w:uiPriority w:val="39"/>
    <w:pPr>
      <w:spacing w:line="240" w:lineRule="auto"/>
      <w:ind w:left="1260" w:leftChars="600" w:firstLine="0" w:firstLineChars="0"/>
    </w:pPr>
    <w:rPr>
      <w:rFonts w:asciiTheme="minorHAnsi" w:hAnsiTheme="minorHAnsi" w:eastAsiaTheme="minorEastAsia" w:cstheme="minorBidi"/>
      <w:sz w:val="21"/>
    </w:rPr>
  </w:style>
  <w:style w:type="paragraph" w:styleId="25">
    <w:name w:val="toc 6"/>
    <w:basedOn w:val="1"/>
    <w:next w:val="1"/>
    <w:autoRedefine/>
    <w:unhideWhenUsed/>
    <w:qFormat/>
    <w:uiPriority w:val="39"/>
    <w:pPr>
      <w:spacing w:line="240" w:lineRule="auto"/>
      <w:ind w:left="2100" w:leftChars="1000" w:firstLine="0" w:firstLineChars="0"/>
    </w:pPr>
    <w:rPr>
      <w:rFonts w:asciiTheme="minorHAnsi" w:hAnsiTheme="minorHAnsi" w:eastAsiaTheme="minorEastAsia" w:cstheme="minorBidi"/>
      <w:sz w:val="21"/>
    </w:rPr>
  </w:style>
  <w:style w:type="paragraph" w:styleId="26">
    <w:name w:val="Body Text Indent 3"/>
    <w:basedOn w:val="1"/>
    <w:link w:val="121"/>
    <w:autoRedefine/>
    <w:semiHidden/>
    <w:unhideWhenUsed/>
    <w:qFormat/>
    <w:uiPriority w:val="99"/>
    <w:pPr>
      <w:spacing w:after="120" w:line="500" w:lineRule="exact"/>
      <w:ind w:left="420" w:leftChars="200"/>
    </w:pPr>
    <w:rPr>
      <w:sz w:val="16"/>
      <w:szCs w:val="16"/>
    </w:rPr>
  </w:style>
  <w:style w:type="paragraph" w:styleId="27">
    <w:name w:val="toc 2"/>
    <w:basedOn w:val="1"/>
    <w:next w:val="1"/>
    <w:link w:val="141"/>
    <w:autoRedefine/>
    <w:qFormat/>
    <w:uiPriority w:val="39"/>
    <w:pPr>
      <w:ind w:left="420" w:leftChars="200"/>
    </w:pPr>
  </w:style>
  <w:style w:type="paragraph" w:styleId="28">
    <w:name w:val="toc 9"/>
    <w:basedOn w:val="1"/>
    <w:next w:val="1"/>
    <w:autoRedefine/>
    <w:unhideWhenUsed/>
    <w:qFormat/>
    <w:uiPriority w:val="39"/>
    <w:pPr>
      <w:spacing w:line="240" w:lineRule="auto"/>
      <w:ind w:left="3360" w:leftChars="1600" w:firstLine="0" w:firstLineChars="0"/>
    </w:pPr>
    <w:rPr>
      <w:rFonts w:asciiTheme="minorHAnsi" w:hAnsiTheme="minorHAnsi" w:eastAsiaTheme="minorEastAsia" w:cstheme="minorBidi"/>
      <w:sz w:val="21"/>
    </w:rPr>
  </w:style>
  <w:style w:type="paragraph" w:styleId="29">
    <w:name w:val="HTML Preformatted"/>
    <w:basedOn w:val="1"/>
    <w:link w:val="135"/>
    <w:autoRedefine/>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30">
    <w:name w:val="Normal (Web)"/>
    <w:basedOn w:val="1"/>
    <w:autoRedefine/>
    <w:unhideWhenUsed/>
    <w:qFormat/>
    <w:uiPriority w:val="0"/>
  </w:style>
  <w:style w:type="paragraph" w:styleId="31">
    <w:name w:val="index 1"/>
    <w:basedOn w:val="1"/>
    <w:next w:val="1"/>
    <w:autoRedefine/>
    <w:qFormat/>
    <w:uiPriority w:val="0"/>
    <w:pPr>
      <w:spacing w:line="240" w:lineRule="atLeast"/>
      <w:jc w:val="center"/>
    </w:pPr>
    <w:rPr>
      <w:szCs w:val="21"/>
    </w:rPr>
  </w:style>
  <w:style w:type="paragraph" w:styleId="32">
    <w:name w:val="Title"/>
    <w:basedOn w:val="1"/>
    <w:next w:val="1"/>
    <w:autoRedefine/>
    <w:qFormat/>
    <w:uiPriority w:val="0"/>
    <w:pPr>
      <w:spacing w:before="240" w:after="60"/>
      <w:jc w:val="center"/>
      <w:outlineLvl w:val="0"/>
    </w:pPr>
    <w:rPr>
      <w:b/>
      <w:bCs/>
      <w:sz w:val="32"/>
      <w:szCs w:val="32"/>
    </w:rPr>
  </w:style>
  <w:style w:type="paragraph" w:styleId="33">
    <w:name w:val="Body Text First Indent"/>
    <w:basedOn w:val="13"/>
    <w:link w:val="85"/>
    <w:autoRedefine/>
    <w:qFormat/>
    <w:uiPriority w:val="0"/>
    <w:pPr>
      <w:ind w:firstLine="420" w:firstLineChars="100"/>
    </w:pPr>
    <w:rPr>
      <w:rFonts w:ascii="Calibri" w:hAnsi="Calibri"/>
    </w:rPr>
  </w:style>
  <w:style w:type="paragraph" w:styleId="34">
    <w:name w:val="Body Text First Indent 2"/>
    <w:basedOn w:val="14"/>
    <w:link w:val="82"/>
    <w:autoRedefine/>
    <w:qFormat/>
    <w:uiPriority w:val="0"/>
    <w:pPr>
      <w:ind w:firstLine="420"/>
    </w:pPr>
  </w:style>
  <w:style w:type="table" w:styleId="36">
    <w:name w:val="Table Grid"/>
    <w:basedOn w:val="35"/>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autoRedefine/>
    <w:qFormat/>
    <w:uiPriority w:val="0"/>
    <w:rPr>
      <w:b/>
      <w:bCs/>
    </w:rPr>
  </w:style>
  <w:style w:type="character" w:styleId="39">
    <w:name w:val="page number"/>
    <w:basedOn w:val="37"/>
    <w:autoRedefine/>
    <w:qFormat/>
    <w:uiPriority w:val="0"/>
  </w:style>
  <w:style w:type="character" w:styleId="40">
    <w:name w:val="Hyperlink"/>
    <w:basedOn w:val="37"/>
    <w:autoRedefine/>
    <w:unhideWhenUsed/>
    <w:qFormat/>
    <w:uiPriority w:val="99"/>
    <w:rPr>
      <w:color w:val="0563C1" w:themeColor="hyperlink"/>
      <w:u w:val="single"/>
      <w14:textFill>
        <w14:solidFill>
          <w14:schemeClr w14:val="hlink"/>
        </w14:solidFill>
      </w14:textFill>
    </w:rPr>
  </w:style>
  <w:style w:type="character" w:styleId="41">
    <w:name w:val="annotation reference"/>
    <w:autoRedefine/>
    <w:qFormat/>
    <w:uiPriority w:val="0"/>
    <w:rPr>
      <w:sz w:val="21"/>
      <w:szCs w:val="21"/>
    </w:rPr>
  </w:style>
  <w:style w:type="character" w:styleId="42">
    <w:name w:val="HTML Cite"/>
    <w:basedOn w:val="37"/>
    <w:autoRedefine/>
    <w:qFormat/>
    <w:uiPriority w:val="0"/>
  </w:style>
  <w:style w:type="paragraph" w:customStyle="1" w:styleId="43">
    <w:name w:val="样式 正文11 + 首行缩进:  2 字符"/>
    <w:basedOn w:val="1"/>
    <w:autoRedefine/>
    <w:qFormat/>
    <w:uiPriority w:val="99"/>
    <w:pPr>
      <w:spacing w:line="500" w:lineRule="exact"/>
      <w:ind w:firstLine="560"/>
    </w:pPr>
    <w:rPr>
      <w:rFonts w:ascii="宋体" w:cs="宋体"/>
      <w:color w:val="FF0000"/>
      <w:sz w:val="28"/>
      <w:szCs w:val="20"/>
    </w:rPr>
  </w:style>
  <w:style w:type="paragraph" w:customStyle="1" w:styleId="44">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5">
    <w:name w:val="表头"/>
    <w:basedOn w:val="1"/>
    <w:next w:val="2"/>
    <w:autoRedefine/>
    <w:qFormat/>
    <w:uiPriority w:val="0"/>
    <w:pPr>
      <w:jc w:val="center"/>
    </w:pPr>
    <w:rPr>
      <w:rFonts w:ascii="黑体" w:eastAsia="黑体"/>
      <w:sz w:val="28"/>
      <w:szCs w:val="20"/>
    </w:rPr>
  </w:style>
  <w:style w:type="paragraph" w:customStyle="1" w:styleId="46">
    <w:name w:val="表内容"/>
    <w:basedOn w:val="1"/>
    <w:next w:val="1"/>
    <w:link w:val="80"/>
    <w:autoRedefine/>
    <w:qFormat/>
    <w:uiPriority w:val="0"/>
    <w:pPr>
      <w:spacing w:line="320" w:lineRule="exact"/>
      <w:jc w:val="center"/>
    </w:pPr>
    <w:rPr>
      <w:kern w:val="0"/>
      <w:szCs w:val="20"/>
    </w:rPr>
  </w:style>
  <w:style w:type="paragraph" w:customStyle="1" w:styleId="47">
    <w:name w:val="正文小四"/>
    <w:basedOn w:val="1"/>
    <w:autoRedefine/>
    <w:qFormat/>
    <w:uiPriority w:val="0"/>
    <w:pPr>
      <w:spacing w:line="460" w:lineRule="exact"/>
      <w:ind w:firstLine="600"/>
    </w:pPr>
    <w:rPr>
      <w:rFonts w:ascii="宋体" w:hAnsi="宋体"/>
      <w:spacing w:val="30"/>
      <w:kern w:val="24"/>
    </w:rPr>
  </w:style>
  <w:style w:type="paragraph" w:customStyle="1" w:styleId="48">
    <w:name w:val="Body Text 21"/>
    <w:basedOn w:val="1"/>
    <w:autoRedefine/>
    <w:qFormat/>
    <w:uiPriority w:val="0"/>
    <w:pPr>
      <w:adjustRightInd w:val="0"/>
      <w:textAlignment w:val="baseline"/>
    </w:pPr>
    <w:rPr>
      <w:rFonts w:ascii="仿宋_GB2312" w:eastAsia="仿宋体"/>
      <w:szCs w:val="20"/>
    </w:rPr>
  </w:style>
  <w:style w:type="paragraph" w:customStyle="1" w:styleId="49">
    <w:name w:val="样式1"/>
    <w:basedOn w:val="14"/>
    <w:autoRedefine/>
    <w:qFormat/>
    <w:uiPriority w:val="0"/>
    <w:pPr>
      <w:ind w:firstLine="200"/>
      <w:jc w:val="left"/>
    </w:pPr>
    <w:rPr>
      <w:color w:val="auto"/>
      <w:sz w:val="24"/>
    </w:rPr>
  </w:style>
  <w:style w:type="paragraph" w:customStyle="1" w:styleId="50">
    <w:name w:val="样式 样式 正文@ + 首行缩进:  2 字符 字距调整小四 紧缩量  0.2 磅 + 首行缩进:  2 字符"/>
    <w:basedOn w:val="1"/>
    <w:autoRedefine/>
    <w:qFormat/>
    <w:uiPriority w:val="0"/>
    <w:pPr>
      <w:spacing w:line="360" w:lineRule="auto"/>
      <w:ind w:firstLine="480"/>
    </w:pPr>
    <w:rPr>
      <w:rFonts w:ascii="宋体" w:hAnsi="宋体"/>
      <w:kern w:val="24"/>
      <w:szCs w:val="20"/>
    </w:rPr>
  </w:style>
  <w:style w:type="paragraph" w:customStyle="1" w:styleId="51">
    <w:name w:val="正文111"/>
    <w:basedOn w:val="1"/>
    <w:autoRedefine/>
    <w:qFormat/>
    <w:uiPriority w:val="0"/>
    <w:pPr>
      <w:ind w:firstLine="480"/>
    </w:pPr>
    <w:rPr>
      <w:rFonts w:eastAsia="仿宋_GB2312"/>
    </w:rPr>
  </w:style>
  <w:style w:type="paragraph" w:customStyle="1" w:styleId="52">
    <w:name w:val="报告表正文"/>
    <w:basedOn w:val="1"/>
    <w:autoRedefine/>
    <w:qFormat/>
    <w:uiPriority w:val="0"/>
    <w:pPr>
      <w:adjustRightInd w:val="0"/>
      <w:spacing w:line="312" w:lineRule="auto"/>
      <w:ind w:left="113" w:right="113" w:firstLine="482"/>
      <w:jc w:val="left"/>
      <w:textAlignment w:val="baseline"/>
    </w:pPr>
    <w:rPr>
      <w:kern w:val="0"/>
    </w:rPr>
  </w:style>
  <w:style w:type="paragraph" w:customStyle="1" w:styleId="53">
    <w:name w:val="表格"/>
    <w:basedOn w:val="1"/>
    <w:next w:val="1"/>
    <w:autoRedefine/>
    <w:qFormat/>
    <w:uiPriority w:val="0"/>
    <w:pPr>
      <w:adjustRightInd w:val="0"/>
      <w:spacing w:line="400" w:lineRule="atLeast"/>
      <w:jc w:val="center"/>
    </w:pPr>
    <w:rPr>
      <w:kern w:val="0"/>
    </w:rPr>
  </w:style>
  <w:style w:type="paragraph" w:customStyle="1" w:styleId="54">
    <w:name w:val="表格文字"/>
    <w:basedOn w:val="1"/>
    <w:link w:val="91"/>
    <w:autoRedefine/>
    <w:qFormat/>
    <w:uiPriority w:val="0"/>
    <w:pPr>
      <w:widowControl/>
      <w:adjustRightInd w:val="0"/>
      <w:snapToGrid w:val="0"/>
      <w:ind w:firstLine="0" w:firstLineChars="0"/>
      <w:jc w:val="center"/>
      <w:textAlignment w:val="baseline"/>
    </w:pPr>
    <w:rPr>
      <w:rFonts w:ascii="宋体" w:hAnsi="宋体" w:cs="宋体"/>
      <w:color w:val="000000" w:themeColor="text1"/>
      <w:kern w:val="0"/>
      <w:szCs w:val="21"/>
      <w14:textFill>
        <w14:solidFill>
          <w14:schemeClr w14:val="tx1"/>
        </w14:solidFill>
      </w14:textFill>
    </w:rPr>
  </w:style>
  <w:style w:type="table" w:customStyle="1" w:styleId="55">
    <w:name w:val="标准表格"/>
    <w:basedOn w:val="35"/>
    <w:autoRedefine/>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rPr>
      <w:jc w:val="center"/>
    </w:trPr>
    <w:tcPr>
      <w:shd w:val="clear" w:color="auto" w:fill="FFFFFF"/>
      <w:vAlign w:val="center"/>
    </w:tcPr>
    <w:tblStylePr w:type="firstRow">
      <w:pPr>
        <w:wordWrap/>
        <w:spacing w:beforeLines="0" w:beforeAutospacing="0" w:afterLines="0" w:afterAutospacing="0" w:line="240" w:lineRule="auto"/>
        <w:ind w:left="0" w:leftChars="0" w:right="0" w:rightChars="0" w:firstLine="0" w:firstLineChars="0"/>
        <w:jc w:val="center"/>
      </w:pPr>
      <w:rPr>
        <w:rFonts w:eastAsia="宋体"/>
        <w:sz w:val="18"/>
      </w:rPr>
      <w:tblPr/>
      <w:trPr>
        <w:tblHeader/>
      </w:trPr>
    </w:tblStylePr>
    <w:tblStylePr w:type="firstCol">
      <w:pPr>
        <w:jc w:val="center"/>
      </w:pPr>
    </w:tblStylePr>
  </w:style>
  <w:style w:type="paragraph" w:customStyle="1" w:styleId="56">
    <w:name w:val="Table Paragraph"/>
    <w:basedOn w:val="1"/>
    <w:autoRedefine/>
    <w:qFormat/>
    <w:uiPriority w:val="1"/>
    <w:pPr>
      <w:adjustRightInd w:val="0"/>
      <w:snapToGrid w:val="0"/>
      <w:spacing w:line="360" w:lineRule="auto"/>
      <w:ind w:firstLine="986"/>
      <w:jc w:val="center"/>
    </w:pPr>
    <w:rPr>
      <w:rFonts w:ascii="宋体" w:hAnsi="宋体" w:cs="宋体"/>
      <w:spacing w:val="-2"/>
      <w:kern w:val="0"/>
    </w:rPr>
  </w:style>
  <w:style w:type="paragraph" w:customStyle="1" w:styleId="57">
    <w:name w:val="正文 首行缩进:  2 字符"/>
    <w:basedOn w:val="1"/>
    <w:autoRedefine/>
    <w:semiHidden/>
    <w:qFormat/>
    <w:uiPriority w:val="0"/>
    <w:pPr>
      <w:ind w:firstLine="480"/>
    </w:pPr>
    <w:rPr>
      <w:kern w:val="44"/>
    </w:rPr>
  </w:style>
  <w:style w:type="paragraph" w:customStyle="1" w:styleId="58">
    <w:name w:val="a表头zzzzzzzzzzzzzz"/>
    <w:basedOn w:val="1"/>
    <w:next w:val="59"/>
    <w:autoRedefine/>
    <w:qFormat/>
    <w:uiPriority w:val="0"/>
    <w:pPr>
      <w:spacing w:before="62" w:after="62"/>
      <w:jc w:val="center"/>
    </w:pPr>
    <w:rPr>
      <w:rFonts w:cs="宋体"/>
      <w:b/>
      <w:szCs w:val="20"/>
    </w:rPr>
  </w:style>
  <w:style w:type="paragraph" w:customStyle="1" w:styleId="59">
    <w:name w:val="a表内第一行zzzzzzzzzz"/>
    <w:basedOn w:val="60"/>
    <w:autoRedefine/>
    <w:qFormat/>
    <w:uiPriority w:val="0"/>
    <w:rPr>
      <w:b/>
      <w:sz w:val="21"/>
    </w:rPr>
  </w:style>
  <w:style w:type="paragraph" w:customStyle="1" w:styleId="60">
    <w:name w:val="a表内格式zzzzzzz"/>
    <w:basedOn w:val="1"/>
    <w:next w:val="61"/>
    <w:autoRedefine/>
    <w:qFormat/>
    <w:uiPriority w:val="0"/>
    <w:pPr>
      <w:spacing w:line="300" w:lineRule="exact"/>
      <w:jc w:val="center"/>
    </w:pPr>
    <w:rPr>
      <w:rFonts w:cs="宋体"/>
      <w:szCs w:val="20"/>
    </w:rPr>
  </w:style>
  <w:style w:type="paragraph" w:customStyle="1" w:styleId="61">
    <w:name w:val="a表后第一行zzzzzzzzzzzzzz"/>
    <w:basedOn w:val="1"/>
    <w:autoRedefine/>
    <w:qFormat/>
    <w:uiPriority w:val="0"/>
    <w:pPr>
      <w:spacing w:beforeLines="50"/>
    </w:pPr>
    <w:rPr>
      <w:rFonts w:cs="宋体"/>
      <w:szCs w:val="20"/>
    </w:rPr>
  </w:style>
  <w:style w:type="paragraph" w:customStyle="1" w:styleId="62">
    <w:name w:val="ae正文zzzzzzzz"/>
    <w:basedOn w:val="1"/>
    <w:autoRedefine/>
    <w:qFormat/>
    <w:uiPriority w:val="0"/>
    <w:rPr>
      <w:rFonts w:cs="宋体"/>
      <w:szCs w:val="20"/>
    </w:rPr>
  </w:style>
  <w:style w:type="paragraph" w:customStyle="1" w:styleId="63">
    <w:name w:val="图Z"/>
    <w:basedOn w:val="1"/>
    <w:next w:val="1"/>
    <w:autoRedefine/>
    <w:qFormat/>
    <w:uiPriority w:val="0"/>
    <w:pPr>
      <w:keepNext/>
      <w:keepLines/>
      <w:autoSpaceDE w:val="0"/>
      <w:autoSpaceDN w:val="0"/>
      <w:adjustRightInd w:val="0"/>
      <w:spacing w:line="240" w:lineRule="auto"/>
      <w:ind w:firstLine="0" w:firstLineChars="0"/>
    </w:pPr>
    <w:rPr>
      <w:kern w:val="21"/>
    </w:rPr>
  </w:style>
  <w:style w:type="character" w:customStyle="1" w:styleId="64">
    <w:name w:val="批注框文本 Char"/>
    <w:basedOn w:val="37"/>
    <w:link w:val="20"/>
    <w:autoRedefine/>
    <w:qFormat/>
    <w:uiPriority w:val="99"/>
    <w:rPr>
      <w:rFonts w:ascii="Calibri" w:hAnsi="Calibri" w:eastAsia="宋体" w:cs="Times New Roman"/>
      <w:kern w:val="2"/>
      <w:sz w:val="18"/>
      <w:szCs w:val="18"/>
    </w:rPr>
  </w:style>
  <w:style w:type="table" w:customStyle="1" w:styleId="65">
    <w:name w:val="网格型1"/>
    <w:basedOn w:val="35"/>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6">
    <w:name w:val="正文缩进 Char"/>
    <w:link w:val="2"/>
    <w:autoRedefine/>
    <w:qFormat/>
    <w:uiPriority w:val="0"/>
    <w:rPr>
      <w:kern w:val="2"/>
      <w:sz w:val="24"/>
      <w:szCs w:val="24"/>
    </w:rPr>
  </w:style>
  <w:style w:type="paragraph" w:customStyle="1" w:styleId="67">
    <w:name w:val="表内"/>
    <w:basedOn w:val="1"/>
    <w:link w:val="68"/>
    <w:autoRedefine/>
    <w:qFormat/>
    <w:uiPriority w:val="0"/>
    <w:pPr>
      <w:snapToGrid w:val="0"/>
      <w:spacing w:line="240" w:lineRule="auto"/>
      <w:ind w:firstLine="0" w:firstLineChars="0"/>
      <w:jc w:val="center"/>
    </w:pPr>
    <w:rPr>
      <w:sz w:val="21"/>
      <w:szCs w:val="21"/>
    </w:rPr>
  </w:style>
  <w:style w:type="character" w:customStyle="1" w:styleId="68">
    <w:name w:val="表内 字符"/>
    <w:basedOn w:val="37"/>
    <w:link w:val="67"/>
    <w:autoRedefine/>
    <w:qFormat/>
    <w:uiPriority w:val="0"/>
    <w:rPr>
      <w:rFonts w:ascii="Times New Roman" w:hAnsi="Times New Roman" w:eastAsia="宋体" w:cs="Times New Roman"/>
      <w:kern w:val="2"/>
      <w:sz w:val="21"/>
      <w:szCs w:val="21"/>
    </w:rPr>
  </w:style>
  <w:style w:type="paragraph" w:customStyle="1" w:styleId="69">
    <w:name w:val="新利正文"/>
    <w:basedOn w:val="1"/>
    <w:autoRedefine/>
    <w:qFormat/>
    <w:uiPriority w:val="0"/>
    <w:pPr>
      <w:widowControl/>
      <w:adjustRightInd w:val="0"/>
      <w:snapToGrid w:val="0"/>
      <w:spacing w:line="440" w:lineRule="exact"/>
    </w:pPr>
    <w:rPr>
      <w:kern w:val="0"/>
      <w:lang w:eastAsia="en-US"/>
    </w:rPr>
  </w:style>
  <w:style w:type="table" w:customStyle="1" w:styleId="70">
    <w:name w:val="网格型2"/>
    <w:basedOn w:val="35"/>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1">
    <w:name w:val="网格型3"/>
    <w:basedOn w:val="35"/>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2">
    <w:name w:val="样式 四号 首行缩进:  2 字符"/>
    <w:basedOn w:val="1"/>
    <w:autoRedefine/>
    <w:qFormat/>
    <w:uiPriority w:val="0"/>
    <w:pPr>
      <w:spacing w:line="480" w:lineRule="atLeast"/>
    </w:pPr>
    <w:rPr>
      <w:kern w:val="0"/>
      <w:szCs w:val="20"/>
    </w:rPr>
  </w:style>
  <w:style w:type="paragraph" w:customStyle="1" w:styleId="73">
    <w:name w:val="表格正文"/>
    <w:basedOn w:val="1"/>
    <w:autoRedefine/>
    <w:qFormat/>
    <w:uiPriority w:val="0"/>
    <w:pPr>
      <w:jc w:val="center"/>
    </w:pPr>
  </w:style>
  <w:style w:type="paragraph" w:customStyle="1" w:styleId="74">
    <w:name w:val="(.a表格内容"/>
    <w:basedOn w:val="1"/>
    <w:autoRedefine/>
    <w:qFormat/>
    <w:uiPriority w:val="0"/>
    <w:pPr>
      <w:widowControl/>
      <w:adjustRightInd w:val="0"/>
      <w:spacing w:line="0" w:lineRule="atLeast"/>
      <w:ind w:firstLine="0" w:firstLineChars="0"/>
      <w:jc w:val="center"/>
    </w:pPr>
    <w:rPr>
      <w:rFonts w:cs="Arial"/>
      <w:bCs/>
      <w:sz w:val="21"/>
    </w:rPr>
  </w:style>
  <w:style w:type="paragraph" w:customStyle="1" w:styleId="75">
    <w:name w:val="列出段落1"/>
    <w:basedOn w:val="1"/>
    <w:autoRedefine/>
    <w:qFormat/>
    <w:uiPriority w:val="34"/>
    <w:pPr>
      <w:ind w:firstLine="420"/>
    </w:pPr>
  </w:style>
  <w:style w:type="paragraph" w:customStyle="1" w:styleId="76">
    <w:name w:val="WPSOffice手动目录 1"/>
    <w:autoRedefine/>
    <w:qFormat/>
    <w:uiPriority w:val="0"/>
    <w:rPr>
      <w:rFonts w:ascii="Times New Roman" w:hAnsi="Times New Roman" w:eastAsia="宋体" w:cs="Times New Roman"/>
      <w:lang w:val="en-US" w:eastAsia="zh-CN" w:bidi="ar-SA"/>
    </w:rPr>
  </w:style>
  <w:style w:type="character" w:customStyle="1" w:styleId="77">
    <w:name w:val="标题 2 Char"/>
    <w:link w:val="5"/>
    <w:autoRedefine/>
    <w:qFormat/>
    <w:uiPriority w:val="9"/>
    <w:rPr>
      <w:b/>
      <w:bCs/>
      <w:kern w:val="2"/>
      <w:sz w:val="30"/>
      <w:szCs w:val="32"/>
    </w:rPr>
  </w:style>
  <w:style w:type="character" w:customStyle="1" w:styleId="78">
    <w:name w:val="标题 3 Char"/>
    <w:link w:val="6"/>
    <w:autoRedefine/>
    <w:qFormat/>
    <w:uiPriority w:val="9"/>
    <w:rPr>
      <w:b/>
      <w:bCs/>
      <w:kern w:val="2"/>
      <w:sz w:val="28"/>
      <w:szCs w:val="32"/>
    </w:rPr>
  </w:style>
  <w:style w:type="character" w:customStyle="1" w:styleId="79">
    <w:name w:val="正文缩进 Char1"/>
    <w:autoRedefine/>
    <w:qFormat/>
    <w:uiPriority w:val="0"/>
    <w:rPr>
      <w:kern w:val="2"/>
      <w:sz w:val="21"/>
    </w:rPr>
  </w:style>
  <w:style w:type="character" w:customStyle="1" w:styleId="80">
    <w:name w:val="表内容 Char"/>
    <w:link w:val="46"/>
    <w:autoRedefine/>
    <w:qFormat/>
    <w:uiPriority w:val="0"/>
    <w:rPr>
      <w:sz w:val="24"/>
    </w:rPr>
  </w:style>
  <w:style w:type="paragraph" w:customStyle="1" w:styleId="81">
    <w:name w:val="IPPR段落"/>
    <w:basedOn w:val="1"/>
    <w:autoRedefine/>
    <w:qFormat/>
    <w:uiPriority w:val="8"/>
    <w:pPr>
      <w:snapToGrid w:val="0"/>
      <w:spacing w:line="400" w:lineRule="exact"/>
      <w:textAlignment w:val="center"/>
    </w:pPr>
    <w:rPr>
      <w:szCs w:val="21"/>
    </w:rPr>
  </w:style>
  <w:style w:type="character" w:customStyle="1" w:styleId="82">
    <w:name w:val="正文首行缩进 2 Char"/>
    <w:basedOn w:val="37"/>
    <w:link w:val="34"/>
    <w:autoRedefine/>
    <w:qFormat/>
    <w:uiPriority w:val="0"/>
    <w:rPr>
      <w:rFonts w:ascii="Calibri" w:hAnsi="Calibri"/>
      <w:color w:val="000000"/>
      <w:kern w:val="2"/>
      <w:sz w:val="28"/>
    </w:rPr>
  </w:style>
  <w:style w:type="character" w:styleId="83">
    <w:name w:val="Placeholder Text"/>
    <w:basedOn w:val="37"/>
    <w:autoRedefine/>
    <w:unhideWhenUsed/>
    <w:qFormat/>
    <w:uiPriority w:val="99"/>
    <w:rPr>
      <w:color w:val="808080"/>
    </w:rPr>
  </w:style>
  <w:style w:type="character" w:customStyle="1" w:styleId="84">
    <w:name w:val="正文文本 Char"/>
    <w:basedOn w:val="37"/>
    <w:link w:val="13"/>
    <w:autoRedefine/>
    <w:qFormat/>
    <w:uiPriority w:val="0"/>
    <w:rPr>
      <w:kern w:val="2"/>
      <w:sz w:val="24"/>
      <w:szCs w:val="24"/>
    </w:rPr>
  </w:style>
  <w:style w:type="character" w:customStyle="1" w:styleId="85">
    <w:name w:val="正文首行缩进 Char"/>
    <w:basedOn w:val="84"/>
    <w:link w:val="33"/>
    <w:autoRedefine/>
    <w:qFormat/>
    <w:uiPriority w:val="0"/>
    <w:rPr>
      <w:kern w:val="2"/>
      <w:sz w:val="24"/>
      <w:szCs w:val="24"/>
    </w:rPr>
  </w:style>
  <w:style w:type="character" w:customStyle="1" w:styleId="86">
    <w:name w:val="正文缩进 Char2"/>
    <w:autoRedefine/>
    <w:qFormat/>
    <w:uiPriority w:val="0"/>
    <w:rPr>
      <w:rFonts w:eastAsia="宋体"/>
      <w:kern w:val="2"/>
      <w:sz w:val="21"/>
      <w:szCs w:val="24"/>
      <w:lang w:val="en-US" w:eastAsia="zh-CN" w:bidi="ar-SA"/>
    </w:rPr>
  </w:style>
  <w:style w:type="character" w:customStyle="1" w:styleId="87">
    <w:name w:val="纯文本 Char"/>
    <w:link w:val="3"/>
    <w:autoRedefine/>
    <w:qFormat/>
    <w:uiPriority w:val="0"/>
    <w:rPr>
      <w:rFonts w:ascii="Calibri" w:hAnsi="Calibri" w:cs="Courier New"/>
      <w:kern w:val="2"/>
      <w:sz w:val="24"/>
      <w:szCs w:val="21"/>
    </w:rPr>
  </w:style>
  <w:style w:type="character" w:customStyle="1" w:styleId="88">
    <w:name w:val="批注文字 Char"/>
    <w:basedOn w:val="37"/>
    <w:link w:val="12"/>
    <w:autoRedefine/>
    <w:qFormat/>
    <w:uiPriority w:val="0"/>
    <w:rPr>
      <w:kern w:val="2"/>
      <w:sz w:val="24"/>
      <w:szCs w:val="24"/>
    </w:rPr>
  </w:style>
  <w:style w:type="paragraph" w:customStyle="1" w:styleId="89">
    <w:name w:val="TOC 标题1"/>
    <w:basedOn w:val="4"/>
    <w:next w:val="1"/>
    <w:autoRedefine/>
    <w:unhideWhenUsed/>
    <w:qFormat/>
    <w:uiPriority w:val="39"/>
    <w:pPr>
      <w:widowControl/>
      <w:spacing w:before="240" w:line="259" w:lineRule="auto"/>
      <w:jc w:val="left"/>
      <w:outlineLvl w:val="9"/>
    </w:pPr>
    <w:rPr>
      <w:rFonts w:asciiTheme="majorHAnsi" w:hAnsiTheme="majorHAnsi" w:eastAsiaTheme="majorEastAsia" w:cstheme="majorBidi"/>
      <w:b w:val="0"/>
      <w:color w:val="2E75B6" w:themeColor="accent1" w:themeShade="BF"/>
      <w:kern w:val="0"/>
      <w:szCs w:val="32"/>
    </w:rPr>
  </w:style>
  <w:style w:type="character" w:customStyle="1" w:styleId="90">
    <w:name w:val="纯文本 Char1"/>
    <w:autoRedefine/>
    <w:qFormat/>
    <w:uiPriority w:val="99"/>
    <w:rPr>
      <w:rFonts w:hAnsi="Courier New"/>
      <w:b/>
      <w:bCs/>
      <w:snapToGrid w:val="0"/>
      <w:kern w:val="2"/>
      <w:sz w:val="24"/>
      <w:szCs w:val="22"/>
    </w:rPr>
  </w:style>
  <w:style w:type="character" w:customStyle="1" w:styleId="91">
    <w:name w:val="表格文字 Char"/>
    <w:link w:val="54"/>
    <w:autoRedefine/>
    <w:qFormat/>
    <w:uiPriority w:val="0"/>
    <w:rPr>
      <w:rFonts w:ascii="宋体" w:hAnsi="宋体" w:cs="宋体"/>
      <w:color w:val="000000" w:themeColor="text1"/>
      <w:sz w:val="24"/>
      <w:szCs w:val="21"/>
      <w14:textFill>
        <w14:solidFill>
          <w14:schemeClr w14:val="tx1"/>
        </w14:solidFill>
      </w14:textFill>
    </w:rPr>
  </w:style>
  <w:style w:type="paragraph" w:customStyle="1" w:styleId="92">
    <w:name w:val="文本"/>
    <w:basedOn w:val="1"/>
    <w:autoRedefine/>
    <w:qFormat/>
    <w:uiPriority w:val="0"/>
    <w:pPr>
      <w:tabs>
        <w:tab w:val="left" w:pos="315"/>
        <w:tab w:val="left" w:pos="425"/>
      </w:tabs>
      <w:adjustRightInd w:val="0"/>
      <w:snapToGrid w:val="0"/>
      <w:spacing w:line="360" w:lineRule="auto"/>
      <w:ind w:left="425" w:hanging="425"/>
      <w:jc w:val="left"/>
    </w:pPr>
  </w:style>
  <w:style w:type="paragraph" w:customStyle="1" w:styleId="93">
    <w:name w:val="正文1"/>
    <w:basedOn w:val="1"/>
    <w:link w:val="94"/>
    <w:autoRedefine/>
    <w:qFormat/>
    <w:uiPriority w:val="0"/>
    <w:pPr>
      <w:adjustRightInd w:val="0"/>
      <w:snapToGrid w:val="0"/>
      <w:spacing w:line="360" w:lineRule="auto"/>
      <w:ind w:firstLine="567"/>
      <w:jc w:val="center"/>
      <w:textAlignment w:val="baseline"/>
    </w:pPr>
    <w:rPr>
      <w:kern w:val="0"/>
      <w:szCs w:val="20"/>
    </w:rPr>
  </w:style>
  <w:style w:type="character" w:customStyle="1" w:styleId="94">
    <w:name w:val="正文1 Char"/>
    <w:link w:val="93"/>
    <w:autoRedefine/>
    <w:qFormat/>
    <w:uiPriority w:val="0"/>
    <w:rPr>
      <w:sz w:val="24"/>
    </w:rPr>
  </w:style>
  <w:style w:type="character" w:customStyle="1" w:styleId="95">
    <w:name w:val="正文(首行缩进) Char"/>
    <w:link w:val="96"/>
    <w:autoRedefine/>
    <w:qFormat/>
    <w:uiPriority w:val="0"/>
    <w:rPr>
      <w:b/>
      <w:bCs/>
      <w:snapToGrid w:val="0"/>
      <w:sz w:val="24"/>
      <w:szCs w:val="24"/>
    </w:rPr>
  </w:style>
  <w:style w:type="paragraph" w:customStyle="1" w:styleId="96">
    <w:name w:val="正文(首行缩进)"/>
    <w:basedOn w:val="2"/>
    <w:link w:val="95"/>
    <w:autoRedefine/>
    <w:qFormat/>
    <w:uiPriority w:val="0"/>
    <w:pPr>
      <w:adjustRightInd w:val="0"/>
      <w:snapToGrid w:val="0"/>
      <w:spacing w:line="360" w:lineRule="auto"/>
      <w:ind w:firstLine="480"/>
    </w:pPr>
    <w:rPr>
      <w:b/>
      <w:bCs/>
      <w:snapToGrid w:val="0"/>
      <w:kern w:val="0"/>
    </w:rPr>
  </w:style>
  <w:style w:type="character" w:customStyle="1" w:styleId="97">
    <w:name w:val="表格内容 Char1"/>
    <w:link w:val="98"/>
    <w:autoRedefine/>
    <w:qFormat/>
    <w:uiPriority w:val="0"/>
    <w:rPr>
      <w:b/>
      <w:bCs/>
      <w:snapToGrid w:val="0"/>
      <w:color w:val="000000"/>
      <w:kern w:val="2"/>
      <w:sz w:val="18"/>
      <w:szCs w:val="18"/>
    </w:rPr>
  </w:style>
  <w:style w:type="paragraph" w:customStyle="1" w:styleId="98">
    <w:name w:val="表格内容"/>
    <w:basedOn w:val="1"/>
    <w:link w:val="97"/>
    <w:autoRedefine/>
    <w:qFormat/>
    <w:uiPriority w:val="0"/>
    <w:pPr>
      <w:adjustRightInd w:val="0"/>
      <w:snapToGrid w:val="0"/>
      <w:spacing w:line="280" w:lineRule="exact"/>
      <w:ind w:left="-31" w:leftChars="-15" w:right="-31" w:rightChars="-15"/>
      <w:jc w:val="center"/>
    </w:pPr>
    <w:rPr>
      <w:b/>
      <w:bCs/>
      <w:snapToGrid w:val="0"/>
      <w:color w:val="000000"/>
      <w:sz w:val="18"/>
      <w:szCs w:val="18"/>
    </w:rPr>
  </w:style>
  <w:style w:type="table" w:customStyle="1" w:styleId="99">
    <w:name w:val="网格型4"/>
    <w:basedOn w:val="35"/>
    <w:autoRedefine/>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0">
    <w:name w:val="页脚 Char"/>
    <w:basedOn w:val="37"/>
    <w:link w:val="21"/>
    <w:autoRedefine/>
    <w:qFormat/>
    <w:uiPriority w:val="99"/>
    <w:rPr>
      <w:kern w:val="2"/>
      <w:sz w:val="18"/>
      <w:szCs w:val="24"/>
    </w:rPr>
  </w:style>
  <w:style w:type="paragraph" w:customStyle="1" w:styleId="101">
    <w:name w:val="表图头"/>
    <w:basedOn w:val="1"/>
    <w:link w:val="102"/>
    <w:autoRedefine/>
    <w:qFormat/>
    <w:uiPriority w:val="0"/>
    <w:pPr>
      <w:ind w:firstLine="0" w:firstLineChars="0"/>
      <w:jc w:val="center"/>
    </w:pPr>
    <w:rPr>
      <w:rFonts w:eastAsia="Times New Roman"/>
      <w:b/>
    </w:rPr>
  </w:style>
  <w:style w:type="character" w:customStyle="1" w:styleId="102">
    <w:name w:val="表图头 Char"/>
    <w:link w:val="101"/>
    <w:autoRedefine/>
    <w:qFormat/>
    <w:uiPriority w:val="0"/>
    <w:rPr>
      <w:rFonts w:eastAsia="Times New Roman"/>
      <w:b/>
      <w:kern w:val="2"/>
      <w:sz w:val="24"/>
      <w:szCs w:val="22"/>
    </w:rPr>
  </w:style>
  <w:style w:type="character" w:customStyle="1" w:styleId="103">
    <w:name w:val="表格中文字 Char"/>
    <w:link w:val="104"/>
    <w:autoRedefine/>
    <w:qFormat/>
    <w:locked/>
    <w:uiPriority w:val="0"/>
    <w:rPr>
      <w:kern w:val="18"/>
      <w:sz w:val="21"/>
      <w:szCs w:val="21"/>
    </w:rPr>
  </w:style>
  <w:style w:type="paragraph" w:customStyle="1" w:styleId="104">
    <w:name w:val="表格中文字"/>
    <w:basedOn w:val="1"/>
    <w:link w:val="103"/>
    <w:autoRedefine/>
    <w:qFormat/>
    <w:uiPriority w:val="0"/>
    <w:pPr>
      <w:widowControl/>
      <w:adjustRightInd w:val="0"/>
      <w:snapToGrid w:val="0"/>
      <w:spacing w:line="240" w:lineRule="auto"/>
      <w:ind w:firstLine="0" w:firstLineChars="0"/>
      <w:jc w:val="center"/>
    </w:pPr>
    <w:rPr>
      <w:kern w:val="18"/>
      <w:sz w:val="21"/>
      <w:szCs w:val="21"/>
    </w:rPr>
  </w:style>
  <w:style w:type="table" w:customStyle="1" w:styleId="105">
    <w:name w:val="Table Normal"/>
    <w:autoRedefine/>
    <w:semiHidden/>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06">
    <w:name w:val="表中文字"/>
    <w:basedOn w:val="1"/>
    <w:link w:val="107"/>
    <w:autoRedefine/>
    <w:qFormat/>
    <w:uiPriority w:val="0"/>
    <w:pPr>
      <w:adjustRightInd w:val="0"/>
      <w:snapToGrid w:val="0"/>
      <w:spacing w:line="380" w:lineRule="exact"/>
      <w:ind w:firstLine="0" w:firstLineChars="0"/>
      <w:jc w:val="center"/>
    </w:pPr>
    <w:rPr>
      <w:kern w:val="0"/>
      <w:sz w:val="21"/>
      <w:szCs w:val="21"/>
    </w:rPr>
  </w:style>
  <w:style w:type="character" w:customStyle="1" w:styleId="107">
    <w:name w:val="表中文字 Char"/>
    <w:link w:val="106"/>
    <w:autoRedefine/>
    <w:qFormat/>
    <w:uiPriority w:val="0"/>
    <w:rPr>
      <w:sz w:val="21"/>
      <w:szCs w:val="21"/>
    </w:rPr>
  </w:style>
  <w:style w:type="paragraph" w:customStyle="1" w:styleId="108">
    <w:name w:val="Z表格中文字"/>
    <w:basedOn w:val="1"/>
    <w:link w:val="109"/>
    <w:autoRedefine/>
    <w:qFormat/>
    <w:uiPriority w:val="0"/>
    <w:pPr>
      <w:widowControl/>
      <w:adjustRightInd w:val="0"/>
      <w:snapToGrid w:val="0"/>
      <w:spacing w:line="380" w:lineRule="exact"/>
      <w:ind w:firstLine="0" w:firstLineChars="0"/>
      <w:jc w:val="center"/>
    </w:pPr>
    <w:rPr>
      <w:kern w:val="18"/>
      <w:sz w:val="21"/>
      <w:szCs w:val="21"/>
    </w:rPr>
  </w:style>
  <w:style w:type="character" w:customStyle="1" w:styleId="109">
    <w:name w:val="Z表格中文字 Char"/>
    <w:link w:val="108"/>
    <w:autoRedefine/>
    <w:qFormat/>
    <w:uiPriority w:val="0"/>
    <w:rPr>
      <w:kern w:val="18"/>
      <w:sz w:val="21"/>
      <w:szCs w:val="21"/>
    </w:rPr>
  </w:style>
  <w:style w:type="paragraph" w:customStyle="1" w:styleId="110">
    <w:name w:val="Z表图头"/>
    <w:basedOn w:val="1"/>
    <w:link w:val="111"/>
    <w:autoRedefine/>
    <w:qFormat/>
    <w:uiPriority w:val="0"/>
    <w:pPr>
      <w:ind w:firstLine="0" w:firstLineChars="0"/>
      <w:jc w:val="center"/>
    </w:pPr>
    <w:rPr>
      <w:b/>
    </w:rPr>
  </w:style>
  <w:style w:type="character" w:customStyle="1" w:styleId="111">
    <w:name w:val="Z表图头 Char"/>
    <w:link w:val="110"/>
    <w:autoRedefine/>
    <w:qFormat/>
    <w:uiPriority w:val="0"/>
    <w:rPr>
      <w:b/>
      <w:kern w:val="2"/>
      <w:sz w:val="24"/>
      <w:szCs w:val="22"/>
    </w:rPr>
  </w:style>
  <w:style w:type="paragraph" w:customStyle="1" w:styleId="112">
    <w:name w:val="Z表中文字"/>
    <w:basedOn w:val="1"/>
    <w:link w:val="113"/>
    <w:autoRedefine/>
    <w:qFormat/>
    <w:uiPriority w:val="0"/>
    <w:pPr>
      <w:adjustRightInd w:val="0"/>
      <w:snapToGrid w:val="0"/>
      <w:spacing w:line="380" w:lineRule="exact"/>
      <w:ind w:firstLine="0" w:firstLineChars="0"/>
      <w:jc w:val="center"/>
    </w:pPr>
    <w:rPr>
      <w:kern w:val="0"/>
      <w:sz w:val="21"/>
      <w:szCs w:val="21"/>
    </w:rPr>
  </w:style>
  <w:style w:type="character" w:customStyle="1" w:styleId="113">
    <w:name w:val="Z表中文字 Char"/>
    <w:link w:val="112"/>
    <w:autoRedefine/>
    <w:qFormat/>
    <w:uiPriority w:val="0"/>
    <w:rPr>
      <w:sz w:val="21"/>
      <w:szCs w:val="21"/>
    </w:rPr>
  </w:style>
  <w:style w:type="character" w:customStyle="1" w:styleId="114">
    <w:name w:val="标题 1 Char"/>
    <w:link w:val="4"/>
    <w:autoRedefine/>
    <w:qFormat/>
    <w:uiPriority w:val="9"/>
    <w:rPr>
      <w:b/>
      <w:bCs/>
      <w:kern w:val="44"/>
      <w:sz w:val="32"/>
      <w:szCs w:val="44"/>
    </w:rPr>
  </w:style>
  <w:style w:type="character" w:customStyle="1" w:styleId="115">
    <w:name w:val="标题 4 Char"/>
    <w:link w:val="7"/>
    <w:autoRedefine/>
    <w:qFormat/>
    <w:uiPriority w:val="0"/>
    <w:rPr>
      <w:b/>
      <w:bCs/>
      <w:kern w:val="2"/>
      <w:sz w:val="24"/>
      <w:szCs w:val="28"/>
    </w:rPr>
  </w:style>
  <w:style w:type="character" w:customStyle="1" w:styleId="116">
    <w:name w:val="标题 5 Char"/>
    <w:basedOn w:val="37"/>
    <w:link w:val="8"/>
    <w:autoRedefine/>
    <w:semiHidden/>
    <w:qFormat/>
    <w:uiPriority w:val="9"/>
    <w:rPr>
      <w:b/>
      <w:bCs/>
      <w:kern w:val="2"/>
      <w:sz w:val="28"/>
      <w:szCs w:val="28"/>
    </w:rPr>
  </w:style>
  <w:style w:type="character" w:customStyle="1" w:styleId="117">
    <w:name w:val="正文文本缩进 2 Char"/>
    <w:basedOn w:val="37"/>
    <w:link w:val="19"/>
    <w:autoRedefine/>
    <w:semiHidden/>
    <w:qFormat/>
    <w:uiPriority w:val="0"/>
    <w:rPr>
      <w:kern w:val="2"/>
      <w:sz w:val="24"/>
      <w:szCs w:val="22"/>
    </w:rPr>
  </w:style>
  <w:style w:type="table" w:customStyle="1" w:styleId="118">
    <w:name w:val="网格型5"/>
    <w:basedOn w:val="35"/>
    <w:autoRedefine/>
    <w:qFormat/>
    <w:uiPriority w:val="0"/>
    <w:pPr>
      <w:widowControl w:val="0"/>
      <w:spacing w:line="480"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9">
    <w:name w:val="List Paragraph"/>
    <w:basedOn w:val="1"/>
    <w:autoRedefine/>
    <w:qFormat/>
    <w:uiPriority w:val="99"/>
    <w:pPr>
      <w:ind w:firstLine="420"/>
    </w:pPr>
  </w:style>
  <w:style w:type="character" w:customStyle="1" w:styleId="120">
    <w:name w:val="文档结构图 Char"/>
    <w:basedOn w:val="37"/>
    <w:link w:val="11"/>
    <w:autoRedefine/>
    <w:semiHidden/>
    <w:qFormat/>
    <w:uiPriority w:val="99"/>
    <w:rPr>
      <w:rFonts w:ascii="宋体"/>
      <w:kern w:val="2"/>
      <w:sz w:val="18"/>
      <w:szCs w:val="18"/>
    </w:rPr>
  </w:style>
  <w:style w:type="character" w:customStyle="1" w:styleId="121">
    <w:name w:val="正文文本缩进 3 Char"/>
    <w:basedOn w:val="37"/>
    <w:link w:val="26"/>
    <w:autoRedefine/>
    <w:semiHidden/>
    <w:qFormat/>
    <w:uiPriority w:val="99"/>
    <w:rPr>
      <w:kern w:val="2"/>
      <w:sz w:val="16"/>
      <w:szCs w:val="16"/>
    </w:rPr>
  </w:style>
  <w:style w:type="paragraph" w:customStyle="1" w:styleId="122">
    <w:name w:val="样式 正文文本 + 首行缩进:  2 字符"/>
    <w:basedOn w:val="13"/>
    <w:autoRedefine/>
    <w:qFormat/>
    <w:uiPriority w:val="99"/>
    <w:pPr>
      <w:spacing w:after="200"/>
      <w:ind w:firstLine="480"/>
    </w:pPr>
    <w:rPr>
      <w:rFonts w:hAnsi="宋体"/>
      <w:szCs w:val="20"/>
    </w:rPr>
  </w:style>
  <w:style w:type="character" w:customStyle="1" w:styleId="123">
    <w:name w:val="页眉 Char"/>
    <w:basedOn w:val="37"/>
    <w:link w:val="22"/>
    <w:autoRedefine/>
    <w:qFormat/>
    <w:uiPriority w:val="99"/>
    <w:rPr>
      <w:rFonts w:ascii="DejaVu Sans" w:hAnsi="DejaVu Sans"/>
      <w:kern w:val="2"/>
      <w:sz w:val="18"/>
      <w:szCs w:val="22"/>
    </w:rPr>
  </w:style>
  <w:style w:type="paragraph" w:customStyle="1" w:styleId="124">
    <w:name w:val="样式 样式 一级标题新 + 小三 段前: 1 行 段后: 0.5 行 + 段前: 0.5 行"/>
    <w:basedOn w:val="1"/>
    <w:autoRedefine/>
    <w:qFormat/>
    <w:uiPriority w:val="0"/>
    <w:pPr>
      <w:numPr>
        <w:ilvl w:val="0"/>
        <w:numId w:val="1"/>
      </w:numPr>
      <w:spacing w:line="540" w:lineRule="exact"/>
      <w:outlineLvl w:val="0"/>
    </w:pPr>
    <w:rPr>
      <w:rFonts w:ascii="宋体" w:eastAsia="黑体" w:cs="宋体"/>
      <w:b/>
      <w:bCs/>
      <w:spacing w:val="5"/>
      <w:sz w:val="30"/>
      <w:szCs w:val="20"/>
    </w:rPr>
  </w:style>
  <w:style w:type="paragraph" w:customStyle="1" w:styleId="125">
    <w:name w:val="三级标题"/>
    <w:basedOn w:val="1"/>
    <w:autoRedefine/>
    <w:qFormat/>
    <w:uiPriority w:val="0"/>
    <w:pPr>
      <w:numPr>
        <w:ilvl w:val="2"/>
        <w:numId w:val="1"/>
      </w:numPr>
      <w:spacing w:line="540" w:lineRule="exact"/>
      <w:ind w:firstLineChars="0"/>
      <w:outlineLvl w:val="2"/>
    </w:pPr>
    <w:rPr>
      <w:rFonts w:ascii="宋体"/>
      <w:b/>
      <w:spacing w:val="5"/>
      <w:sz w:val="25"/>
      <w:szCs w:val="24"/>
    </w:rPr>
  </w:style>
  <w:style w:type="paragraph" w:customStyle="1" w:styleId="126">
    <w:name w:val="样式3"/>
    <w:basedOn w:val="1"/>
    <w:autoRedefine/>
    <w:qFormat/>
    <w:uiPriority w:val="0"/>
    <w:pPr>
      <w:snapToGrid w:val="0"/>
      <w:spacing w:line="500" w:lineRule="exact"/>
      <w:jc w:val="center"/>
    </w:pPr>
    <w:rPr>
      <w:rFonts w:hAnsi="黑体" w:eastAsia="黑体"/>
      <w:color w:val="000000"/>
      <w:szCs w:val="24"/>
    </w:rPr>
  </w:style>
  <w:style w:type="character" w:customStyle="1" w:styleId="127">
    <w:name w:val="style11"/>
    <w:autoRedefine/>
    <w:qFormat/>
    <w:uiPriority w:val="0"/>
    <w:rPr>
      <w:sz w:val="22"/>
      <w:szCs w:val="22"/>
    </w:rPr>
  </w:style>
  <w:style w:type="paragraph" w:customStyle="1" w:styleId="128">
    <w:name w:val="font5"/>
    <w:basedOn w:val="1"/>
    <w:autoRedefine/>
    <w:qFormat/>
    <w:uiPriority w:val="0"/>
    <w:pPr>
      <w:widowControl/>
      <w:spacing w:before="100" w:beforeAutospacing="1" w:after="100" w:afterAutospacing="1" w:line="500" w:lineRule="exact"/>
      <w:jc w:val="left"/>
    </w:pPr>
    <w:rPr>
      <w:rFonts w:hint="eastAsia" w:ascii="宋体" w:hAnsi="宋体"/>
      <w:kern w:val="0"/>
      <w:sz w:val="18"/>
      <w:szCs w:val="18"/>
    </w:rPr>
  </w:style>
  <w:style w:type="paragraph" w:customStyle="1" w:styleId="129">
    <w:name w:val="默认段落字体 Para Char"/>
    <w:basedOn w:val="1"/>
    <w:next w:val="1"/>
    <w:autoRedefine/>
    <w:qFormat/>
    <w:uiPriority w:val="0"/>
    <w:pPr>
      <w:spacing w:line="360" w:lineRule="auto"/>
    </w:pPr>
    <w:rPr>
      <w:rFonts w:ascii="宋体" w:hAnsi="宋体" w:cs="宋体"/>
      <w:szCs w:val="24"/>
    </w:rPr>
  </w:style>
  <w:style w:type="paragraph" w:customStyle="1" w:styleId="130">
    <w:name w:val="Char Char1 Char Char Char Char Char Char Char Char Char Char Char Char Char Char Char Char Char Char Char Char1 Char"/>
    <w:basedOn w:val="1"/>
    <w:autoRedefine/>
    <w:qFormat/>
    <w:uiPriority w:val="0"/>
    <w:pPr>
      <w:spacing w:line="360" w:lineRule="auto"/>
    </w:pPr>
    <w:rPr>
      <w:rFonts w:ascii="宋体" w:hAnsi="宋体" w:cs="宋体"/>
      <w:szCs w:val="24"/>
    </w:rPr>
  </w:style>
  <w:style w:type="paragraph" w:customStyle="1" w:styleId="131">
    <w:name w:val="表"/>
    <w:basedOn w:val="1"/>
    <w:autoRedefine/>
    <w:qFormat/>
    <w:uiPriority w:val="0"/>
    <w:pPr>
      <w:spacing w:line="320" w:lineRule="exact"/>
      <w:jc w:val="left"/>
    </w:pPr>
    <w:rPr>
      <w:kern w:val="0"/>
      <w:szCs w:val="20"/>
    </w:rPr>
  </w:style>
  <w:style w:type="paragraph" w:customStyle="1" w:styleId="132">
    <w:name w:val="2"/>
    <w:basedOn w:val="1"/>
    <w:next w:val="124"/>
    <w:autoRedefine/>
    <w:qFormat/>
    <w:uiPriority w:val="0"/>
    <w:pPr>
      <w:spacing w:line="500" w:lineRule="exact"/>
      <w:ind w:firstLine="527"/>
    </w:pPr>
    <w:rPr>
      <w:rFonts w:ascii="宋体"/>
      <w:spacing w:val="5"/>
      <w:sz w:val="25"/>
      <w:szCs w:val="25"/>
    </w:rPr>
  </w:style>
  <w:style w:type="character" w:customStyle="1" w:styleId="133">
    <w:name w:val="日期 Char"/>
    <w:basedOn w:val="37"/>
    <w:link w:val="18"/>
    <w:autoRedefine/>
    <w:qFormat/>
    <w:uiPriority w:val="0"/>
    <w:rPr>
      <w:kern w:val="2"/>
      <w:sz w:val="24"/>
      <w:szCs w:val="22"/>
    </w:rPr>
  </w:style>
  <w:style w:type="paragraph" w:customStyle="1" w:styleId="134">
    <w:name w:val="样式 正文首行缩进 + 首行缩进:  2 字符"/>
    <w:basedOn w:val="1"/>
    <w:autoRedefine/>
    <w:qFormat/>
    <w:uiPriority w:val="0"/>
    <w:pPr>
      <w:spacing w:line="600" w:lineRule="exact"/>
    </w:pPr>
    <w:rPr>
      <w:rFonts w:cs="宋体"/>
      <w:sz w:val="28"/>
      <w:szCs w:val="24"/>
      <w:lang w:val="en-GB" w:eastAsia="zh-TW"/>
    </w:rPr>
  </w:style>
  <w:style w:type="character" w:customStyle="1" w:styleId="135">
    <w:name w:val="HTML 预设格式 Char"/>
    <w:basedOn w:val="37"/>
    <w:link w:val="29"/>
    <w:autoRedefine/>
    <w:qFormat/>
    <w:uiPriority w:val="99"/>
    <w:rPr>
      <w:rFonts w:ascii="宋体" w:hAnsi="宋体"/>
      <w:sz w:val="24"/>
      <w:szCs w:val="22"/>
    </w:rPr>
  </w:style>
  <w:style w:type="character" w:customStyle="1" w:styleId="136">
    <w:name w:val="正文文本缩进 Char"/>
    <w:basedOn w:val="37"/>
    <w:link w:val="14"/>
    <w:autoRedefine/>
    <w:qFormat/>
    <w:uiPriority w:val="99"/>
    <w:rPr>
      <w:color w:val="000000"/>
      <w:kern w:val="2"/>
      <w:sz w:val="28"/>
    </w:rPr>
  </w:style>
  <w:style w:type="character" w:customStyle="1" w:styleId="137">
    <w:name w:val="正文(首行缩进) Char1"/>
    <w:autoRedefine/>
    <w:qFormat/>
    <w:locked/>
    <w:uiPriority w:val="0"/>
    <w:rPr>
      <w:rFonts w:ascii="宋体" w:hAnsi="宋体"/>
      <w:snapToGrid w:val="0"/>
      <w:sz w:val="24"/>
      <w:szCs w:val="28"/>
    </w:rPr>
  </w:style>
  <w:style w:type="paragraph" w:customStyle="1" w:styleId="138">
    <w:name w:val="新格式表"/>
    <w:basedOn w:val="1"/>
    <w:autoRedefine/>
    <w:qFormat/>
    <w:uiPriority w:val="0"/>
    <w:pPr>
      <w:adjustRightInd w:val="0"/>
      <w:snapToGrid w:val="0"/>
      <w:spacing w:line="0" w:lineRule="atLeast"/>
      <w:jc w:val="center"/>
    </w:pPr>
    <w:rPr>
      <w:rFonts w:ascii="宋体" w:hAnsi="宋体"/>
      <w:color w:val="FF0000"/>
      <w:kern w:val="0"/>
      <w:szCs w:val="21"/>
    </w:rPr>
  </w:style>
  <w:style w:type="paragraph" w:customStyle="1" w:styleId="139">
    <w:name w:val="表格文字自用"/>
    <w:basedOn w:val="27"/>
    <w:link w:val="142"/>
    <w:autoRedefine/>
    <w:qFormat/>
    <w:uiPriority w:val="0"/>
    <w:pPr>
      <w:spacing w:line="380" w:lineRule="atLeast"/>
      <w:ind w:left="0" w:leftChars="0" w:firstLine="480"/>
      <w:jc w:val="center"/>
    </w:pPr>
    <w:rPr>
      <w:bCs/>
      <w:szCs w:val="21"/>
    </w:rPr>
  </w:style>
  <w:style w:type="table" w:customStyle="1" w:styleId="140">
    <w:name w:val="网格型11"/>
    <w:basedOn w:val="35"/>
    <w:autoRedefine/>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1">
    <w:name w:val="目录 2 Char"/>
    <w:basedOn w:val="37"/>
    <w:link w:val="27"/>
    <w:autoRedefine/>
    <w:qFormat/>
    <w:uiPriority w:val="39"/>
    <w:rPr>
      <w:kern w:val="2"/>
      <w:sz w:val="24"/>
      <w:szCs w:val="22"/>
    </w:rPr>
  </w:style>
  <w:style w:type="character" w:customStyle="1" w:styleId="142">
    <w:name w:val="表格文字自用 Char"/>
    <w:basedOn w:val="141"/>
    <w:link w:val="139"/>
    <w:autoRedefine/>
    <w:qFormat/>
    <w:uiPriority w:val="0"/>
    <w:rPr>
      <w:bCs/>
      <w:kern w:val="2"/>
      <w:sz w:val="24"/>
      <w:szCs w:val="21"/>
    </w:rPr>
  </w:style>
  <w:style w:type="table" w:customStyle="1" w:styleId="143">
    <w:name w:val="表格样式1"/>
    <w:basedOn w:val="36"/>
    <w:autoRedefine/>
    <w:qFormat/>
    <w:uiPriority w:val="0"/>
    <w:pPr>
      <w:spacing w:line="360" w:lineRule="exact"/>
      <w:jc w:val="center"/>
    </w:pPr>
    <w:rPr>
      <w:sz w:val="21"/>
    </w:rPr>
    <w:tblPr>
      <w:tblBorders>
        <w:top w:val="single" w:color="auto" w:sz="12" w:space="0"/>
        <w:bottom w:val="single" w:color="auto" w:sz="12" w:space="0"/>
        <w:insideH w:val="single" w:color="auto" w:sz="8" w:space="0"/>
        <w:insideV w:val="single" w:color="auto" w:sz="8" w:space="0"/>
      </w:tblBorders>
      <w:tblCellMar>
        <w:top w:w="0" w:type="dxa"/>
        <w:left w:w="108" w:type="dxa"/>
        <w:bottom w:w="0" w:type="dxa"/>
        <w:right w:w="108" w:type="dxa"/>
      </w:tblCellMar>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notes" Target="footnotes.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69EFA7-6006-499C-AC68-18672CF64305}">
  <ds:schemaRefs/>
</ds:datastoreItem>
</file>

<file path=docProps/app.xml><?xml version="1.0" encoding="utf-8"?>
<Properties xmlns="http://schemas.openxmlformats.org/officeDocument/2006/extended-properties" xmlns:vt="http://schemas.openxmlformats.org/officeDocument/2006/docPropsVTypes">
  <Template>Normal</Template>
  <Pages>39</Pages>
  <Words>15917</Words>
  <Characters>17301</Characters>
  <Lines>143</Lines>
  <Paragraphs>40</Paragraphs>
  <TotalTime>5</TotalTime>
  <ScaleCrop>false</ScaleCrop>
  <LinksUpToDate>false</LinksUpToDate>
  <CharactersWithSpaces>17570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2023-03-23T00:37:00Z</dcterms:created>
  <dc:creator>mengyuanlove</dc:creator>
  <cp:lastModifiedBy> 柱子</cp:lastModifiedBy>
  <cp:lastPrinted>2023-11-15T08:44:00Z</cp:lastPrinted>
  <dcterms:modified xsi:type="dcterms:W3CDTF">2024-03-06T03:05:46Z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3AEA8B91283F40798D4974886BF9A506_13</vt:lpwstr>
  </property>
</Properties>
</file>